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31C7A" w14:textId="1D307CC5" w:rsidR="006F00EF" w:rsidRPr="00DB5AEE" w:rsidRDefault="00BA6FDD" w:rsidP="00ED3A0C">
      <w:pPr>
        <w:rPr>
          <w:lang w:val="en-GB"/>
        </w:rPr>
      </w:pPr>
      <w:r w:rsidRPr="0010275E">
        <w:rPr>
          <w:lang w:val="en-GB"/>
        </w:rPr>
        <w:t>2023-09-01</w:t>
      </w:r>
    </w:p>
    <w:p w14:paraId="2F3E14E2" w14:textId="63920FBC" w:rsidR="0002054A" w:rsidRPr="00DB5AEE" w:rsidRDefault="0002054A" w:rsidP="0002054A">
      <w:pPr>
        <w:pStyle w:val="Huvudrubrik"/>
        <w:rPr>
          <w:lang w:val="en-GB"/>
        </w:rPr>
      </w:pPr>
      <w:bookmarkStart w:id="0" w:name="Position"/>
      <w:bookmarkEnd w:id="0"/>
      <w:r w:rsidRPr="00DB5AEE">
        <w:rPr>
          <w:lang w:val="en-GB"/>
        </w:rPr>
        <w:t>Project 3</w:t>
      </w:r>
      <w:r w:rsidR="005242A4">
        <w:rPr>
          <w:lang w:val="en-GB"/>
        </w:rPr>
        <w:t xml:space="preserve">: </w:t>
      </w:r>
      <w:r w:rsidRPr="00DB5AEE">
        <w:rPr>
          <w:lang w:val="en-GB"/>
        </w:rPr>
        <w:t>Consultation on interest rate swaps</w:t>
      </w:r>
    </w:p>
    <w:p w14:paraId="7BB3E9E1" w14:textId="77777777" w:rsidR="0002054A" w:rsidRPr="00DB5AEE" w:rsidRDefault="0002054A" w:rsidP="0002054A">
      <w:pPr>
        <w:pStyle w:val="Rubrik1"/>
        <w:rPr>
          <w:lang w:val="en-GB"/>
        </w:rPr>
      </w:pPr>
      <w:r w:rsidRPr="00DB5AEE">
        <w:rPr>
          <w:lang w:val="en-GB"/>
        </w:rPr>
        <w:t>Introduction</w:t>
      </w:r>
    </w:p>
    <w:p w14:paraId="40205D64" w14:textId="16699D88" w:rsidR="0002054A" w:rsidRPr="00DB5AEE" w:rsidRDefault="0002054A" w:rsidP="0002054A">
      <w:pPr>
        <w:rPr>
          <w:lang w:val="en-GB"/>
        </w:rPr>
      </w:pPr>
      <w:r w:rsidRPr="00DB5AEE">
        <w:rPr>
          <w:lang w:val="en-GB"/>
        </w:rPr>
        <w:t xml:space="preserve">The purpose of this consultation is to find out how the market would react to a </w:t>
      </w:r>
      <w:r w:rsidR="00EA3FB6">
        <w:rPr>
          <w:lang w:val="en-GB"/>
        </w:rPr>
        <w:t>switch</w:t>
      </w:r>
      <w:r w:rsidR="00EA3FB6" w:rsidRPr="00DB5AEE">
        <w:rPr>
          <w:lang w:val="en-GB"/>
        </w:rPr>
        <w:t xml:space="preserve"> </w:t>
      </w:r>
      <w:r w:rsidRPr="00DB5AEE">
        <w:rPr>
          <w:lang w:val="en-GB"/>
        </w:rPr>
        <w:t xml:space="preserve">from </w:t>
      </w:r>
      <w:r w:rsidR="00814CF4">
        <w:rPr>
          <w:lang w:val="en-GB"/>
        </w:rPr>
        <w:t xml:space="preserve">the tenor </w:t>
      </w:r>
      <w:r w:rsidRPr="00DB5AEE">
        <w:rPr>
          <w:lang w:val="en-GB"/>
        </w:rPr>
        <w:t xml:space="preserve">STIBOR T/N to SWESTR, if STIBOR T/N were to cease to be published and market participants would use SWESTR instead of STIBOR T/N. The consultation also aims to get an idea of the most suitable solutions for how such a </w:t>
      </w:r>
      <w:r w:rsidR="00EA3FB6">
        <w:rPr>
          <w:lang w:val="en-GB"/>
        </w:rPr>
        <w:t>switch</w:t>
      </w:r>
      <w:r w:rsidR="00EA3FB6" w:rsidRPr="00DB5AEE">
        <w:rPr>
          <w:lang w:val="en-GB"/>
        </w:rPr>
        <w:t xml:space="preserve"> </w:t>
      </w:r>
      <w:r w:rsidRPr="00DB5AEE">
        <w:rPr>
          <w:lang w:val="en-GB"/>
        </w:rPr>
        <w:t xml:space="preserve">could take place. The consultation is not about whether STIBOR T/N should </w:t>
      </w:r>
      <w:r w:rsidR="00FF2589" w:rsidRPr="00DB5AEE">
        <w:rPr>
          <w:lang w:val="en-GB"/>
        </w:rPr>
        <w:t>cease to be published</w:t>
      </w:r>
      <w:r w:rsidRPr="00DB5AEE">
        <w:rPr>
          <w:lang w:val="en-GB"/>
        </w:rPr>
        <w:t xml:space="preserve"> or not, but only about how a possible change could take place. Any decision to cease publication of STIBOR T/N can only be made by its administrator (Swedish Financial Benchmark Facility, SFBF) or its supervisory authority (</w:t>
      </w:r>
      <w:r w:rsidR="00880456" w:rsidRPr="00DB5AEE">
        <w:rPr>
          <w:lang w:val="en-GB"/>
        </w:rPr>
        <w:t xml:space="preserve">Swedish FSA, </w:t>
      </w:r>
      <w:r w:rsidRPr="00DB5AEE">
        <w:rPr>
          <w:lang w:val="en-GB"/>
        </w:rPr>
        <w:t>Finansinspektionen).</w:t>
      </w:r>
    </w:p>
    <w:p w14:paraId="4D3233C7" w14:textId="77777777" w:rsidR="0002054A" w:rsidRPr="00DB5AEE" w:rsidRDefault="0002054A" w:rsidP="0002054A">
      <w:pPr>
        <w:rPr>
          <w:lang w:val="en-GB"/>
        </w:rPr>
      </w:pPr>
    </w:p>
    <w:p w14:paraId="06C42131" w14:textId="17A38EE0" w:rsidR="0002054A" w:rsidRPr="00DB5AEE" w:rsidRDefault="0002054A" w:rsidP="0002054A">
      <w:pPr>
        <w:rPr>
          <w:lang w:val="en-GB"/>
        </w:rPr>
      </w:pPr>
      <w:r w:rsidRPr="00DB5AEE">
        <w:rPr>
          <w:lang w:val="en-GB"/>
        </w:rPr>
        <w:t xml:space="preserve">We would like you to send your answers to </w:t>
      </w:r>
      <w:hyperlink r:id="rId8" w:history="1">
        <w:r w:rsidR="00D60F02" w:rsidRPr="00DB5AEE">
          <w:rPr>
            <w:rStyle w:val="Hyperlnk"/>
            <w:lang w:val="en-GB"/>
          </w:rPr>
          <w:t>info@swedishbankers.se</w:t>
        </w:r>
      </w:hyperlink>
      <w:r w:rsidR="00D60F02" w:rsidRPr="00DB5AEE">
        <w:rPr>
          <w:lang w:val="en-GB"/>
        </w:rPr>
        <w:t xml:space="preserve"> </w:t>
      </w:r>
      <w:r w:rsidRPr="00DB5AEE">
        <w:rPr>
          <w:lang w:val="en-GB"/>
        </w:rPr>
        <w:t xml:space="preserve">by September 29 at the latest. </w:t>
      </w:r>
      <w:r w:rsidR="005270B7">
        <w:rPr>
          <w:lang w:val="en-GB"/>
        </w:rPr>
        <w:t xml:space="preserve">Should </w:t>
      </w:r>
      <w:r w:rsidRPr="00DB5AEE">
        <w:rPr>
          <w:lang w:val="en-GB"/>
        </w:rPr>
        <w:t xml:space="preserve">you have </w:t>
      </w:r>
      <w:r w:rsidR="005270B7">
        <w:rPr>
          <w:lang w:val="en-GB"/>
        </w:rPr>
        <w:t xml:space="preserve">any </w:t>
      </w:r>
      <w:r w:rsidRPr="00DB5AEE">
        <w:rPr>
          <w:lang w:val="en-GB"/>
        </w:rPr>
        <w:t xml:space="preserve">questions or want to discuss something in the consultation, </w:t>
      </w:r>
      <w:r w:rsidR="00956612">
        <w:rPr>
          <w:lang w:val="en-GB"/>
        </w:rPr>
        <w:t>please</w:t>
      </w:r>
      <w:r w:rsidRPr="00DB5AEE">
        <w:rPr>
          <w:lang w:val="en-GB"/>
        </w:rPr>
        <w:t xml:space="preserve"> contact </w:t>
      </w:r>
      <w:hyperlink r:id="rId9" w:history="1">
        <w:r w:rsidR="00D60F02" w:rsidRPr="00DB5AEE">
          <w:rPr>
            <w:rStyle w:val="Hyperlnk"/>
            <w:lang w:val="en-GB"/>
          </w:rPr>
          <w:t>jonny.sylven@swedishbankers.se</w:t>
        </w:r>
      </w:hyperlink>
      <w:r w:rsidR="00D60F02" w:rsidRPr="00DB5AEE">
        <w:rPr>
          <w:lang w:val="en-GB"/>
        </w:rPr>
        <w:t>.</w:t>
      </w:r>
    </w:p>
    <w:p w14:paraId="250C9B4B" w14:textId="77777777" w:rsidR="0002054A" w:rsidRPr="00DB5AEE" w:rsidRDefault="0002054A" w:rsidP="0002054A">
      <w:pPr>
        <w:pStyle w:val="Rubrik1"/>
        <w:rPr>
          <w:lang w:val="en-GB"/>
        </w:rPr>
      </w:pPr>
      <w:r w:rsidRPr="00DB5AEE">
        <w:rPr>
          <w:lang w:val="en-GB"/>
        </w:rPr>
        <w:t>Background</w:t>
      </w:r>
    </w:p>
    <w:p w14:paraId="67D4325F" w14:textId="6A77CD4C" w:rsidR="0002054A" w:rsidRPr="00DB5AEE" w:rsidRDefault="0002054A" w:rsidP="0002054A">
      <w:pPr>
        <w:rPr>
          <w:lang w:val="en-GB"/>
        </w:rPr>
      </w:pPr>
      <w:r w:rsidRPr="00DB5AEE">
        <w:rPr>
          <w:lang w:val="en-GB"/>
        </w:rPr>
        <w:t>For some time now, many countries have been working on developing alternative reference rates. Among other things, it has been about replacing Ibors</w:t>
      </w:r>
      <w:r w:rsidR="00D62A69" w:rsidRPr="00DB5AEE">
        <w:rPr>
          <w:rStyle w:val="Fotnotsreferens"/>
          <w:lang w:val="en-GB"/>
        </w:rPr>
        <w:footnoteReference w:id="1"/>
      </w:r>
      <w:r w:rsidRPr="00DB5AEE">
        <w:rPr>
          <w:lang w:val="en-GB"/>
        </w:rPr>
        <w:t xml:space="preserve"> in the currency areas where that reference rate was used with new risk-free reference rates (RFR). These new reference rates have consistently</w:t>
      </w:r>
      <w:r w:rsidR="00381A80">
        <w:rPr>
          <w:lang w:val="en-GB"/>
        </w:rPr>
        <w:t xml:space="preserve"> </w:t>
      </w:r>
      <w:r w:rsidRPr="00DB5AEE">
        <w:rPr>
          <w:lang w:val="en-GB"/>
        </w:rPr>
        <w:t>been O/N rates with a maturity of one trading day</w:t>
      </w:r>
      <w:r w:rsidR="002467E9">
        <w:rPr>
          <w:lang w:val="en-GB"/>
        </w:rPr>
        <w:t xml:space="preserve"> only</w:t>
      </w:r>
      <w:r w:rsidRPr="00DB5AEE">
        <w:rPr>
          <w:lang w:val="en-GB"/>
        </w:rPr>
        <w:t>. Even in currency areas where it has been chosen to keep Ibors as the main reference rate, RFR</w:t>
      </w:r>
      <w:r w:rsidR="00D74733" w:rsidRPr="00DB5AEE">
        <w:rPr>
          <w:lang w:val="en-GB"/>
        </w:rPr>
        <w:t>-rates</w:t>
      </w:r>
      <w:r w:rsidRPr="00DB5AEE">
        <w:rPr>
          <w:lang w:val="en-GB"/>
        </w:rPr>
        <w:t xml:space="preserve"> </w:t>
      </w:r>
      <w:r w:rsidR="00956612">
        <w:rPr>
          <w:lang w:val="en-GB"/>
        </w:rPr>
        <w:t>have</w:t>
      </w:r>
      <w:r w:rsidR="00956612" w:rsidRPr="00DB5AEE">
        <w:rPr>
          <w:lang w:val="en-GB"/>
        </w:rPr>
        <w:t xml:space="preserve"> </w:t>
      </w:r>
      <w:r w:rsidRPr="00DB5AEE">
        <w:rPr>
          <w:lang w:val="en-GB"/>
        </w:rPr>
        <w:t xml:space="preserve">developed. Sweden has SWESTR, Euroland has developed €STR, Norway has NOWA and Denmark has developed DESTR. When the Swedish banks developed the recommendation into what is today SWESTR, STIBOR T/N was not considered necessary when an O/N rate was to be established. Using the responses from this consultation and collaboration in the market, the aim is to explore how such a switch could be </w:t>
      </w:r>
      <w:r w:rsidR="003A4D4B">
        <w:rPr>
          <w:lang w:val="en-GB"/>
        </w:rPr>
        <w:t>implemented</w:t>
      </w:r>
      <w:r w:rsidRPr="00DB5AEE">
        <w:rPr>
          <w:lang w:val="en-GB"/>
        </w:rPr>
        <w:t>.</w:t>
      </w:r>
    </w:p>
    <w:p w14:paraId="6E180CC5" w14:textId="77777777" w:rsidR="0002054A" w:rsidRPr="00DB5AEE" w:rsidRDefault="0002054A" w:rsidP="0002054A">
      <w:pPr>
        <w:pStyle w:val="Rubrik1"/>
        <w:rPr>
          <w:lang w:val="en-GB"/>
        </w:rPr>
      </w:pPr>
      <w:r w:rsidRPr="00DB5AEE">
        <w:rPr>
          <w:lang w:val="en-GB"/>
        </w:rPr>
        <w:t>Use of STIBOR T/N</w:t>
      </w:r>
    </w:p>
    <w:p w14:paraId="2BAEDC27" w14:textId="5B2C522F" w:rsidR="0002054A" w:rsidRPr="00DB5AEE" w:rsidRDefault="0002054A" w:rsidP="0002054A">
      <w:pPr>
        <w:rPr>
          <w:lang w:val="en-GB"/>
        </w:rPr>
      </w:pPr>
      <w:r w:rsidRPr="00DB5AEE">
        <w:rPr>
          <w:lang w:val="en-GB"/>
        </w:rPr>
        <w:t xml:space="preserve">STIBOR T/N is used today to a very small extent as a reference rate in financial contracts. However, there are some financial contracts that refer to STIBOR T/N, for example certain types of deposit accounts and the reference rate can also be used </w:t>
      </w:r>
      <w:r w:rsidRPr="00DB5AEE">
        <w:rPr>
          <w:lang w:val="en-GB"/>
        </w:rPr>
        <w:lastRenderedPageBreak/>
        <w:t xml:space="preserve">in CSA agreements (Credit Support Annex). There is a derivatives market based on STIBOR T/N called the STINA market. </w:t>
      </w:r>
      <w:r w:rsidR="00EE21D1">
        <w:rPr>
          <w:lang w:val="en-GB"/>
        </w:rPr>
        <w:t>It</w:t>
      </w:r>
      <w:r w:rsidRPr="00DB5AEE">
        <w:rPr>
          <w:lang w:val="en-GB"/>
        </w:rPr>
        <w:t xml:space="preserve"> is an OIS market based on STIBOR T/N that can be cleared via Nasdaq and traded bilaterally. The turnover in this market is small and sporadic and there is very little to indicate that this market is important for Swedish </w:t>
      </w:r>
      <w:r w:rsidR="000B6875">
        <w:rPr>
          <w:lang w:val="en-GB"/>
        </w:rPr>
        <w:t>actors</w:t>
      </w:r>
      <w:r w:rsidRPr="00DB5AEE">
        <w:rPr>
          <w:lang w:val="en-GB"/>
        </w:rPr>
        <w:t>.</w:t>
      </w:r>
    </w:p>
    <w:p w14:paraId="6E407DEF" w14:textId="77777777" w:rsidR="0002054A" w:rsidRPr="00DB5AEE" w:rsidRDefault="0002054A" w:rsidP="0002054A">
      <w:pPr>
        <w:rPr>
          <w:lang w:val="en-GB"/>
        </w:rPr>
      </w:pPr>
    </w:p>
    <w:p w14:paraId="3B2C3BC0" w14:textId="0E87B039" w:rsidR="0002054A" w:rsidRPr="00DB5AEE" w:rsidRDefault="0002054A" w:rsidP="0002054A">
      <w:pPr>
        <w:rPr>
          <w:lang w:val="en-GB"/>
        </w:rPr>
      </w:pPr>
      <w:r w:rsidRPr="00DB5AEE">
        <w:rPr>
          <w:lang w:val="en-GB"/>
        </w:rPr>
        <w:t xml:space="preserve">However, STINA OIS swaps </w:t>
      </w:r>
      <w:r w:rsidR="00D216D2" w:rsidRPr="00DB5AEE">
        <w:rPr>
          <w:lang w:val="en-GB"/>
        </w:rPr>
        <w:t>fulfil</w:t>
      </w:r>
      <w:r w:rsidRPr="00DB5AEE">
        <w:rPr>
          <w:lang w:val="en-GB"/>
        </w:rPr>
        <w:t xml:space="preserve"> a function in that the interest from these instruments is used to discount cash flows in derivative contracts and thereby calculate, among other things, the present value (PV) of </w:t>
      </w:r>
      <w:r w:rsidR="00432F91">
        <w:rPr>
          <w:lang w:val="en-GB"/>
        </w:rPr>
        <w:t>cash flow</w:t>
      </w:r>
      <w:r w:rsidRPr="00DB5AEE">
        <w:rPr>
          <w:lang w:val="en-GB"/>
        </w:rPr>
        <w:t>. These present values also form the basis for calculating variation margin (VM) requirements between counterparties in CSA agreements or at clearing houses such as Nasdaq.</w:t>
      </w:r>
    </w:p>
    <w:p w14:paraId="2AFD0D64" w14:textId="77777777" w:rsidR="0002054A" w:rsidRPr="00DB5AEE" w:rsidRDefault="0002054A" w:rsidP="0002054A">
      <w:pPr>
        <w:rPr>
          <w:lang w:val="en-GB"/>
        </w:rPr>
      </w:pPr>
    </w:p>
    <w:p w14:paraId="48F78A99" w14:textId="06802618" w:rsidR="0002054A" w:rsidRPr="00DB5AEE" w:rsidRDefault="0002054A" w:rsidP="0002054A">
      <w:pPr>
        <w:rPr>
          <w:lang w:val="en-GB"/>
        </w:rPr>
      </w:pPr>
      <w:r w:rsidRPr="00DB5AEE">
        <w:rPr>
          <w:lang w:val="en-GB"/>
        </w:rPr>
        <w:t>The reason why STINA is used is that STIBOR T/N is often used as a reference rate on collateral denominated in SEK, either in bilateral CSA agreements or in the form of PAI (Price Alignment Interest) at clearing houses. Users of interest rate derivatives in Swedish kronor may for this reason, even if they only trade derivatives tied to 3m STIBOR, come to use calculations based on STIBOR T/N for example valuation or risk measurement as well as for accounting and reporting.</w:t>
      </w:r>
    </w:p>
    <w:p w14:paraId="5B8CDE2E" w14:textId="77777777" w:rsidR="0002054A" w:rsidRPr="00DB5AEE" w:rsidRDefault="0002054A" w:rsidP="0002054A">
      <w:pPr>
        <w:rPr>
          <w:lang w:val="en-GB"/>
        </w:rPr>
      </w:pPr>
    </w:p>
    <w:p w14:paraId="4634794E" w14:textId="7D4220B6" w:rsidR="0002054A" w:rsidRPr="00DB5AEE" w:rsidRDefault="0002054A" w:rsidP="0002054A">
      <w:pPr>
        <w:rPr>
          <w:lang w:val="en-GB"/>
        </w:rPr>
      </w:pPr>
      <w:r w:rsidRPr="00DB5AEE">
        <w:rPr>
          <w:lang w:val="en-GB"/>
        </w:rPr>
        <w:t>The use of STIBOR T/N or STINA rates can be summarized with the following image:</w:t>
      </w:r>
    </w:p>
    <w:p w14:paraId="762209B5" w14:textId="77777777" w:rsidR="0002054A" w:rsidRPr="00DB5AEE" w:rsidRDefault="0002054A" w:rsidP="0002054A">
      <w:pPr>
        <w:rPr>
          <w:lang w:val="en-GB"/>
        </w:rPr>
      </w:pPr>
    </w:p>
    <w:p w14:paraId="3C783AAE" w14:textId="57004F84" w:rsidR="0002054A" w:rsidRPr="00DB5AEE" w:rsidRDefault="00D65641" w:rsidP="0002054A">
      <w:pPr>
        <w:rPr>
          <w:lang w:val="en-GB"/>
        </w:rPr>
      </w:pPr>
      <w:r w:rsidRPr="00DB5AEE">
        <w:rPr>
          <w:noProof/>
          <w:lang w:val="en-GB"/>
        </w:rPr>
        <w:drawing>
          <wp:inline distT="0" distB="0" distL="0" distR="0" wp14:anchorId="38743893" wp14:editId="0995E860">
            <wp:extent cx="3048000" cy="2066925"/>
            <wp:effectExtent l="0" t="0" r="0" b="9525"/>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0" cy="2066925"/>
                    </a:xfrm>
                    <a:prstGeom prst="rect">
                      <a:avLst/>
                    </a:prstGeom>
                    <a:noFill/>
                    <a:ln>
                      <a:noFill/>
                    </a:ln>
                  </pic:spPr>
                </pic:pic>
              </a:graphicData>
            </a:graphic>
          </wp:inline>
        </w:drawing>
      </w:r>
    </w:p>
    <w:p w14:paraId="5B282C8D" w14:textId="77777777" w:rsidR="0002054A" w:rsidRPr="00DB5AEE" w:rsidRDefault="0002054A" w:rsidP="0002054A">
      <w:pPr>
        <w:rPr>
          <w:lang w:val="en-GB"/>
        </w:rPr>
      </w:pPr>
    </w:p>
    <w:p w14:paraId="63B2EDF3" w14:textId="3A084A75" w:rsidR="0002054A" w:rsidRPr="00DB5AEE" w:rsidRDefault="0002054A" w:rsidP="0002054A">
      <w:pPr>
        <w:rPr>
          <w:lang w:val="en-GB"/>
        </w:rPr>
      </w:pPr>
      <w:r w:rsidRPr="00DB5AEE">
        <w:rPr>
          <w:lang w:val="en-GB"/>
        </w:rPr>
        <w:t>What distinguishes STIBOR T/N from the other STIBOR maturities is the last part, which does not really refer to the normal, in the legal sense, use of reference</w:t>
      </w:r>
      <w:r w:rsidR="002843A6">
        <w:rPr>
          <w:lang w:val="en-GB"/>
        </w:rPr>
        <w:t xml:space="preserve"> rate</w:t>
      </w:r>
      <w:r w:rsidRPr="00DB5AEE">
        <w:rPr>
          <w:lang w:val="en-GB"/>
        </w:rPr>
        <w:t xml:space="preserve"> in financial contracts, but which can nevertheless affect economic valuations for various actors in the financial system. There are probably no fallback clauses for replacement</w:t>
      </w:r>
      <w:r w:rsidR="002843A6">
        <w:rPr>
          <w:lang w:val="en-GB"/>
        </w:rPr>
        <w:t xml:space="preserve"> rates</w:t>
      </w:r>
      <w:r w:rsidRPr="00DB5AEE">
        <w:rPr>
          <w:lang w:val="en-GB"/>
        </w:rPr>
        <w:t xml:space="preserve"> in these agreements. A switch also affects actors' system technical infrastructure, which is often complex. Time is probably needed to </w:t>
      </w:r>
      <w:r w:rsidR="00146613">
        <w:rPr>
          <w:lang w:val="en-GB"/>
        </w:rPr>
        <w:t xml:space="preserve">come to terms </w:t>
      </w:r>
      <w:r w:rsidRPr="00DB5AEE">
        <w:rPr>
          <w:lang w:val="en-GB"/>
        </w:rPr>
        <w:t>with these aspects.</w:t>
      </w:r>
    </w:p>
    <w:p w14:paraId="15309EA1" w14:textId="77777777" w:rsidR="0002054A" w:rsidRPr="00DB5AEE" w:rsidRDefault="0002054A" w:rsidP="0002054A">
      <w:pPr>
        <w:rPr>
          <w:lang w:val="en-GB"/>
        </w:rPr>
      </w:pPr>
    </w:p>
    <w:p w14:paraId="13C01576" w14:textId="25F74DE0" w:rsidR="0002054A" w:rsidRPr="00DB5AEE" w:rsidRDefault="0002054A" w:rsidP="0002054A">
      <w:pPr>
        <w:rPr>
          <w:lang w:val="en-GB"/>
        </w:rPr>
      </w:pPr>
    </w:p>
    <w:tbl>
      <w:tblPr>
        <w:tblStyle w:val="Tabellrutnt"/>
        <w:tblW w:w="0" w:type="auto"/>
        <w:tblLook w:val="04A0" w:firstRow="1" w:lastRow="0" w:firstColumn="1" w:lastColumn="0" w:noHBand="0" w:noVBand="1"/>
      </w:tblPr>
      <w:tblGrid>
        <w:gridCol w:w="8268"/>
      </w:tblGrid>
      <w:tr w:rsidR="00904AAE" w:rsidRPr="00460133" w14:paraId="3272E3BA" w14:textId="77777777" w:rsidTr="00041148">
        <w:tc>
          <w:tcPr>
            <w:tcW w:w="8268" w:type="dxa"/>
            <w:shd w:val="clear" w:color="auto" w:fill="8197CB"/>
          </w:tcPr>
          <w:p w14:paraId="1D8FD88A" w14:textId="1B7342F3" w:rsidR="00904AAE" w:rsidRPr="00DB5AEE" w:rsidRDefault="00904AAE" w:rsidP="00041148">
            <w:pPr>
              <w:rPr>
                <w:lang w:val="en-GB"/>
              </w:rPr>
            </w:pPr>
            <w:r w:rsidRPr="00DB5AEE">
              <w:rPr>
                <w:lang w:val="en-GB"/>
              </w:rPr>
              <w:lastRenderedPageBreak/>
              <w:t>Question 1: Do you use STIBOR T/N in any way that is not stated above? In such cases, please explain whether a lack of STIBOR T/N as a reference rate or a change to another reference rate such as SWESTR could affect you and in what way.</w:t>
            </w:r>
          </w:p>
        </w:tc>
      </w:tr>
      <w:tr w:rsidR="00904AAE" w:rsidRPr="00460133" w14:paraId="4B2F6B99" w14:textId="77777777" w:rsidTr="00041148">
        <w:tc>
          <w:tcPr>
            <w:tcW w:w="8268" w:type="dxa"/>
          </w:tcPr>
          <w:p w14:paraId="7C9715E2" w14:textId="77777777" w:rsidR="00904AAE" w:rsidRPr="00DB5AEE" w:rsidRDefault="00904AAE" w:rsidP="00041148">
            <w:pPr>
              <w:rPr>
                <w:lang w:val="en-GB"/>
              </w:rPr>
            </w:pPr>
          </w:p>
        </w:tc>
      </w:tr>
    </w:tbl>
    <w:p w14:paraId="7A10B616" w14:textId="6FE23A00" w:rsidR="0002054A" w:rsidRPr="00DB5AEE" w:rsidRDefault="0002054A" w:rsidP="0002054A">
      <w:pPr>
        <w:pStyle w:val="Rubrik1"/>
        <w:rPr>
          <w:lang w:val="en-GB"/>
        </w:rPr>
      </w:pPr>
      <w:r w:rsidRPr="00DB5AEE">
        <w:rPr>
          <w:lang w:val="en-GB"/>
        </w:rPr>
        <w:t>Perception of SWESTR</w:t>
      </w:r>
    </w:p>
    <w:p w14:paraId="6E266FA9" w14:textId="661E848F" w:rsidR="0002054A" w:rsidRPr="00DB5AEE" w:rsidRDefault="0002054A" w:rsidP="0002054A">
      <w:pPr>
        <w:rPr>
          <w:lang w:val="en-GB"/>
        </w:rPr>
      </w:pPr>
      <w:r w:rsidRPr="00DB5AEE">
        <w:rPr>
          <w:lang w:val="en-GB"/>
        </w:rPr>
        <w:t>SWESTR is the RFR that the Riksbank administers and publishes daily on its website.</w:t>
      </w:r>
      <w:r w:rsidR="00E65239" w:rsidRPr="00DB5AEE">
        <w:rPr>
          <w:rStyle w:val="Fotnotsreferens"/>
          <w:lang w:val="en-GB"/>
        </w:rPr>
        <w:footnoteReference w:id="2"/>
      </w:r>
      <w:r w:rsidRPr="00DB5AEE">
        <w:rPr>
          <w:lang w:val="en-GB"/>
        </w:rPr>
        <w:t xml:space="preserve"> The basis for this </w:t>
      </w:r>
      <w:r w:rsidR="000B6875">
        <w:rPr>
          <w:lang w:val="en-GB"/>
        </w:rPr>
        <w:t>reference</w:t>
      </w:r>
      <w:r w:rsidR="000B6875" w:rsidRPr="00DB5AEE">
        <w:rPr>
          <w:lang w:val="en-GB"/>
        </w:rPr>
        <w:t xml:space="preserve"> </w:t>
      </w:r>
      <w:r w:rsidRPr="00DB5AEE">
        <w:rPr>
          <w:lang w:val="en-GB"/>
        </w:rPr>
        <w:t xml:space="preserve">rate was developed by the Swedish banks through the AGAR working group in 2019. This work was carried out to produce a risk-free O/N </w:t>
      </w:r>
      <w:r w:rsidR="00A02F02">
        <w:rPr>
          <w:lang w:val="en-GB"/>
        </w:rPr>
        <w:t>reference</w:t>
      </w:r>
      <w:r w:rsidR="00A02F02" w:rsidRPr="00DB5AEE">
        <w:rPr>
          <w:lang w:val="en-GB"/>
        </w:rPr>
        <w:t xml:space="preserve"> </w:t>
      </w:r>
      <w:r w:rsidRPr="00DB5AEE">
        <w:rPr>
          <w:lang w:val="en-GB"/>
        </w:rPr>
        <w:t xml:space="preserve">rate that is as similar as possible to the reference rates that other countries have developed (€STR, SONIA, SOFR, SARON). The Riksbank has, on </w:t>
      </w:r>
      <w:proofErr w:type="gramStart"/>
      <w:r w:rsidRPr="00DB5AEE">
        <w:rPr>
          <w:lang w:val="en-GB"/>
        </w:rPr>
        <w:t>a number of</w:t>
      </w:r>
      <w:proofErr w:type="gramEnd"/>
      <w:r w:rsidRPr="00DB5AEE">
        <w:rPr>
          <w:lang w:val="en-GB"/>
        </w:rPr>
        <w:t xml:space="preserve"> points, disregarded or chosen not to implement the banks' proposals. SWESTR also differs on </w:t>
      </w:r>
      <w:r w:rsidR="006B28F7" w:rsidRPr="00DB5AEE">
        <w:rPr>
          <w:lang w:val="en-GB"/>
        </w:rPr>
        <w:t>a few</w:t>
      </w:r>
      <w:r w:rsidRPr="00DB5AEE">
        <w:rPr>
          <w:lang w:val="en-GB"/>
        </w:rPr>
        <w:t xml:space="preserve"> points from its international counterparts. </w:t>
      </w:r>
      <w:proofErr w:type="gramStart"/>
      <w:r w:rsidRPr="00DB5AEE">
        <w:rPr>
          <w:lang w:val="en-GB"/>
        </w:rPr>
        <w:t>In order to</w:t>
      </w:r>
      <w:proofErr w:type="gramEnd"/>
      <w:r w:rsidRPr="00DB5AEE">
        <w:rPr>
          <w:lang w:val="en-GB"/>
        </w:rPr>
        <w:t xml:space="preserve"> gain acceptance for SWESTR, the </w:t>
      </w:r>
      <w:r w:rsidR="00F07AF0">
        <w:rPr>
          <w:lang w:val="en-GB"/>
        </w:rPr>
        <w:t xml:space="preserve">Swedish </w:t>
      </w:r>
      <w:r w:rsidRPr="00DB5AEE">
        <w:rPr>
          <w:lang w:val="en-GB"/>
        </w:rPr>
        <w:t>Bank</w:t>
      </w:r>
      <w:r w:rsidR="00643FF1">
        <w:rPr>
          <w:lang w:val="en-GB"/>
        </w:rPr>
        <w:t>ers’</w:t>
      </w:r>
      <w:r w:rsidRPr="00DB5AEE">
        <w:rPr>
          <w:lang w:val="en-GB"/>
        </w:rPr>
        <w:t xml:space="preserve"> Association has therefore expressed that it would be desirable for SWESTR to be harmonized with the working group AGAR's original proposal.</w:t>
      </w:r>
    </w:p>
    <w:p w14:paraId="5A49962F" w14:textId="7AB30EA5" w:rsidR="0002054A" w:rsidRPr="00DB5AEE" w:rsidRDefault="0002054A" w:rsidP="0002054A">
      <w:pPr>
        <w:rPr>
          <w:lang w:val="en-GB"/>
        </w:rPr>
      </w:pPr>
    </w:p>
    <w:tbl>
      <w:tblPr>
        <w:tblStyle w:val="Tabellrutnt"/>
        <w:tblW w:w="0" w:type="auto"/>
        <w:tblLook w:val="04A0" w:firstRow="1" w:lastRow="0" w:firstColumn="1" w:lastColumn="0" w:noHBand="0" w:noVBand="1"/>
      </w:tblPr>
      <w:tblGrid>
        <w:gridCol w:w="8268"/>
      </w:tblGrid>
      <w:tr w:rsidR="00904AAE" w:rsidRPr="00460133" w14:paraId="4A41250A" w14:textId="77777777" w:rsidTr="00041148">
        <w:tc>
          <w:tcPr>
            <w:tcW w:w="8268" w:type="dxa"/>
            <w:shd w:val="clear" w:color="auto" w:fill="8197CB"/>
          </w:tcPr>
          <w:p w14:paraId="63262AB4" w14:textId="645F5A2F" w:rsidR="00904AAE" w:rsidRPr="00DB5AEE" w:rsidRDefault="00904AAE" w:rsidP="00041148">
            <w:pPr>
              <w:rPr>
                <w:lang w:val="en-GB"/>
              </w:rPr>
            </w:pPr>
            <w:r w:rsidRPr="00DB5AEE">
              <w:rPr>
                <w:lang w:val="en-GB"/>
              </w:rPr>
              <w:t>Question 2: Do you consider that SWESTR in its current state is suitable for use in financial agreements? If not, what do you think needs to be improved regarding SWESTR for the interest rate to be a robust reference rate that can be used in financial contracts?</w:t>
            </w:r>
          </w:p>
        </w:tc>
      </w:tr>
      <w:tr w:rsidR="00904AAE" w:rsidRPr="00460133" w14:paraId="11A90E22" w14:textId="77777777" w:rsidTr="00041148">
        <w:tc>
          <w:tcPr>
            <w:tcW w:w="8268" w:type="dxa"/>
          </w:tcPr>
          <w:p w14:paraId="4036CED1" w14:textId="77777777" w:rsidR="00904AAE" w:rsidRPr="00DB5AEE" w:rsidRDefault="00904AAE" w:rsidP="00041148">
            <w:pPr>
              <w:rPr>
                <w:lang w:val="en-GB"/>
              </w:rPr>
            </w:pPr>
          </w:p>
        </w:tc>
      </w:tr>
    </w:tbl>
    <w:p w14:paraId="6869BCC7" w14:textId="77777777" w:rsidR="0002054A" w:rsidRPr="00DB5AEE" w:rsidRDefault="0002054A" w:rsidP="0002054A">
      <w:pPr>
        <w:pStyle w:val="Rubrik1"/>
        <w:rPr>
          <w:lang w:val="en-GB"/>
        </w:rPr>
      </w:pPr>
      <w:r w:rsidRPr="00DB5AEE">
        <w:rPr>
          <w:lang w:val="en-GB"/>
        </w:rPr>
        <w:t>Timetable for the implementation of any replacement</w:t>
      </w:r>
    </w:p>
    <w:p w14:paraId="3B7C16B5" w14:textId="3913B0EA" w:rsidR="0002054A" w:rsidRPr="00DB5AEE" w:rsidRDefault="0002054A" w:rsidP="0002054A">
      <w:pPr>
        <w:rPr>
          <w:lang w:val="en-GB"/>
        </w:rPr>
      </w:pPr>
      <w:r w:rsidRPr="00DB5AEE">
        <w:rPr>
          <w:lang w:val="en-GB"/>
        </w:rPr>
        <w:t>In the work that has been done internationally regarding the exchange of reference rates, it has been shown that it is of great importance that there is a clear timetable for when the exchange of reference rates can take place.</w:t>
      </w:r>
    </w:p>
    <w:p w14:paraId="227FE443" w14:textId="77777777" w:rsidR="0002054A" w:rsidRPr="00DB5AEE" w:rsidRDefault="0002054A" w:rsidP="0002054A">
      <w:pPr>
        <w:rPr>
          <w:lang w:val="en-GB"/>
        </w:rPr>
      </w:pPr>
    </w:p>
    <w:p w14:paraId="1F64B542" w14:textId="594E96C7" w:rsidR="0002054A" w:rsidRPr="00DB5AEE" w:rsidRDefault="0002054A" w:rsidP="0002054A">
      <w:pPr>
        <w:rPr>
          <w:lang w:val="en-GB"/>
        </w:rPr>
      </w:pPr>
      <w:r w:rsidRPr="00DB5AEE">
        <w:rPr>
          <w:lang w:val="en-GB"/>
        </w:rPr>
        <w:t xml:space="preserve">In a possible </w:t>
      </w:r>
      <w:r w:rsidR="00FE1B3A">
        <w:rPr>
          <w:lang w:val="en-GB"/>
        </w:rPr>
        <w:t xml:space="preserve">switch </w:t>
      </w:r>
      <w:r w:rsidRPr="00DB5AEE">
        <w:rPr>
          <w:lang w:val="en-GB"/>
        </w:rPr>
        <w:t xml:space="preserve">of STIBOR T/N to SWESTR, there are at least three points in time that are important. </w:t>
      </w:r>
    </w:p>
    <w:p w14:paraId="084DA80D" w14:textId="3BD0568A" w:rsidR="00A515B5" w:rsidRPr="00DB5AEE" w:rsidRDefault="00A515B5" w:rsidP="00A515B5">
      <w:pPr>
        <w:pStyle w:val="Liststycke"/>
        <w:numPr>
          <w:ilvl w:val="0"/>
          <w:numId w:val="30"/>
        </w:numPr>
        <w:rPr>
          <w:lang w:val="en-GB"/>
        </w:rPr>
      </w:pPr>
      <w:r w:rsidRPr="00DB5AEE">
        <w:rPr>
          <w:lang w:val="en-GB"/>
        </w:rPr>
        <w:t xml:space="preserve">Timing of publication of the entire timetable and method: An official timing of when STIBOR T/N will cease to be published must probably be stated. This </w:t>
      </w:r>
      <w:r w:rsidR="00895E3B">
        <w:rPr>
          <w:lang w:val="en-GB"/>
        </w:rPr>
        <w:t xml:space="preserve">procedure </w:t>
      </w:r>
      <w:r w:rsidRPr="00DB5AEE">
        <w:rPr>
          <w:lang w:val="en-GB"/>
        </w:rPr>
        <w:t>is regulated by law. According to the Benchmark Regulation</w:t>
      </w:r>
      <w:r w:rsidR="009C5243" w:rsidRPr="00DB5AEE">
        <w:rPr>
          <w:rStyle w:val="Fotnotsreferens"/>
          <w:lang w:val="en-GB"/>
        </w:rPr>
        <w:footnoteReference w:id="3"/>
      </w:r>
      <w:r w:rsidRPr="00DB5AEE">
        <w:rPr>
          <w:lang w:val="en-GB"/>
        </w:rPr>
        <w:t>, only the administrator of STIBOR T/N (SFBF) or its supervisory authority (Finansinspektionen) can make such a</w:t>
      </w:r>
      <w:r w:rsidR="004C7C88">
        <w:rPr>
          <w:lang w:val="en-GB"/>
        </w:rPr>
        <w:t>n</w:t>
      </w:r>
      <w:r w:rsidRPr="00DB5AEE">
        <w:rPr>
          <w:lang w:val="en-GB"/>
        </w:rPr>
        <w:t xml:space="preserve"> </w:t>
      </w:r>
      <w:r w:rsidR="004C7C88">
        <w:rPr>
          <w:lang w:val="en-GB"/>
        </w:rPr>
        <w:t>announcement</w:t>
      </w:r>
      <w:r w:rsidRPr="00DB5AEE">
        <w:rPr>
          <w:lang w:val="en-GB"/>
        </w:rPr>
        <w:t>.</w:t>
      </w:r>
    </w:p>
    <w:p w14:paraId="2634C01C" w14:textId="2E0571BC" w:rsidR="00A515B5" w:rsidRPr="00DB5AEE" w:rsidRDefault="00A515B5" w:rsidP="00A515B5">
      <w:pPr>
        <w:pStyle w:val="Liststycke"/>
        <w:numPr>
          <w:ilvl w:val="0"/>
          <w:numId w:val="30"/>
        </w:numPr>
        <w:rPr>
          <w:lang w:val="en-GB"/>
        </w:rPr>
      </w:pPr>
      <w:r w:rsidRPr="00DB5AEE">
        <w:rPr>
          <w:lang w:val="en-GB"/>
        </w:rPr>
        <w:t xml:space="preserve">Time when it is no longer appropriate to sign new agreements with reference to STIBOR T/N. After this date, it will still be possible to make valuations of interest </w:t>
      </w:r>
      <w:r w:rsidRPr="00DB5AEE">
        <w:rPr>
          <w:lang w:val="en-GB"/>
        </w:rPr>
        <w:lastRenderedPageBreak/>
        <w:t>derivatives and calculate, for example, risk using STIBOR T/N. It must be possible to use STIBOR T/N for this as there will be outstanding contracts.</w:t>
      </w:r>
    </w:p>
    <w:p w14:paraId="50BAAD4A" w14:textId="4294B7E3" w:rsidR="00A515B5" w:rsidRPr="00DB5AEE" w:rsidRDefault="00A515B5" w:rsidP="00A515B5">
      <w:pPr>
        <w:pStyle w:val="Liststycke"/>
        <w:numPr>
          <w:ilvl w:val="0"/>
          <w:numId w:val="30"/>
        </w:numPr>
        <w:rPr>
          <w:lang w:val="en-GB"/>
        </w:rPr>
      </w:pPr>
      <w:r w:rsidRPr="00DB5AEE">
        <w:rPr>
          <w:lang w:val="en-GB"/>
        </w:rPr>
        <w:t>Time of possible cessation of publication of STIBOR T/N</w:t>
      </w:r>
      <w:r w:rsidR="00C6423B">
        <w:rPr>
          <w:lang w:val="en-GB"/>
        </w:rPr>
        <w:t>.</w:t>
      </w:r>
      <w:r w:rsidR="00C6423B" w:rsidRPr="00DB5AEE">
        <w:rPr>
          <w:lang w:val="en-GB"/>
        </w:rPr>
        <w:t xml:space="preserve"> </w:t>
      </w:r>
      <w:r w:rsidRPr="00DB5AEE">
        <w:rPr>
          <w:lang w:val="en-GB"/>
        </w:rPr>
        <w:t xml:space="preserve">Hopefully, all agreements with reference to STIBOR T/N have been negotiated before this date. If the relevant agreement has clauses on </w:t>
      </w:r>
      <w:r w:rsidR="001C5509">
        <w:rPr>
          <w:lang w:val="en-GB"/>
        </w:rPr>
        <w:t xml:space="preserve">fallback rates </w:t>
      </w:r>
      <w:r w:rsidRPr="00DB5AEE">
        <w:rPr>
          <w:lang w:val="en-GB"/>
        </w:rPr>
        <w:t xml:space="preserve">that follow the </w:t>
      </w:r>
      <w:r w:rsidR="00F07AF0" w:rsidRPr="0010275E">
        <w:rPr>
          <w:lang w:val="en-GB"/>
        </w:rPr>
        <w:t xml:space="preserve">Swedish </w:t>
      </w:r>
      <w:r w:rsidRPr="0010275E">
        <w:rPr>
          <w:lang w:val="en-GB"/>
        </w:rPr>
        <w:t>Bank</w:t>
      </w:r>
      <w:r w:rsidR="00643FF1" w:rsidRPr="0010275E">
        <w:rPr>
          <w:lang w:val="en-GB"/>
        </w:rPr>
        <w:t>ers’</w:t>
      </w:r>
      <w:r w:rsidRPr="0010275E">
        <w:rPr>
          <w:lang w:val="en-GB"/>
        </w:rPr>
        <w:t xml:space="preserve"> Association's recommendation,</w:t>
      </w:r>
      <w:r w:rsidR="001C5509" w:rsidRPr="0010275E">
        <w:rPr>
          <w:rStyle w:val="Fotnotsreferens"/>
        </w:rPr>
        <w:footnoteReference w:id="4"/>
      </w:r>
      <w:r w:rsidR="00BF458B" w:rsidRPr="0010275E">
        <w:rPr>
          <w:lang w:val="en-GB"/>
        </w:rPr>
        <w:t xml:space="preserve"> </w:t>
      </w:r>
      <w:r w:rsidRPr="0010275E">
        <w:rPr>
          <w:lang w:val="en-GB"/>
        </w:rPr>
        <w:t>there is the possibility to follow that recommendation and change the interest rate in connection with the last interest period.</w:t>
      </w:r>
      <w:r w:rsidRPr="007041DB">
        <w:rPr>
          <w:lang w:val="en-GB"/>
        </w:rPr>
        <w:t xml:space="preserve"> Likewise</w:t>
      </w:r>
      <w:r w:rsidRPr="00DB5AEE">
        <w:rPr>
          <w:lang w:val="en-GB"/>
        </w:rPr>
        <w:t xml:space="preserve">, a change of </w:t>
      </w:r>
      <w:r w:rsidR="00D92B07">
        <w:rPr>
          <w:lang w:val="en-GB"/>
        </w:rPr>
        <w:t>reference rate</w:t>
      </w:r>
      <w:r w:rsidR="00D92B07" w:rsidRPr="00DB5AEE">
        <w:rPr>
          <w:lang w:val="en-GB"/>
        </w:rPr>
        <w:t xml:space="preserve"> </w:t>
      </w:r>
      <w:r w:rsidRPr="00DB5AEE">
        <w:rPr>
          <w:lang w:val="en-GB"/>
        </w:rPr>
        <w:t xml:space="preserve">for the calculation of </w:t>
      </w:r>
      <w:r w:rsidR="000B6875">
        <w:rPr>
          <w:lang w:val="en-GB"/>
        </w:rPr>
        <w:t>collateral</w:t>
      </w:r>
      <w:r w:rsidR="000B6875" w:rsidRPr="00DB5AEE">
        <w:rPr>
          <w:lang w:val="en-GB"/>
        </w:rPr>
        <w:t xml:space="preserve"> </w:t>
      </w:r>
      <w:r w:rsidRPr="00DB5AEE">
        <w:rPr>
          <w:lang w:val="en-GB"/>
        </w:rPr>
        <w:t>requirements to clearinghouses or according to the CSA may have been decided before this date, but not later. How this is to be done must be agreed upon by the contracting parties. All internal models for valuation and risk should also be changed before this date.</w:t>
      </w:r>
    </w:p>
    <w:p w14:paraId="41254008" w14:textId="77777777" w:rsidR="0002054A" w:rsidRPr="00DB5AEE" w:rsidRDefault="0002054A" w:rsidP="00A515B5">
      <w:pPr>
        <w:rPr>
          <w:lang w:val="en-GB"/>
        </w:rPr>
      </w:pPr>
    </w:p>
    <w:p w14:paraId="033EBB2D" w14:textId="5E5F4B71" w:rsidR="00E8026E" w:rsidRPr="00F13980" w:rsidRDefault="00E8026E" w:rsidP="00F13980">
      <w:pPr>
        <w:rPr>
          <w:lang w:val="en-GB"/>
        </w:rPr>
      </w:pPr>
      <w:r w:rsidRPr="00F13980">
        <w:rPr>
          <w:lang w:val="en-GB"/>
        </w:rPr>
        <w:t>Depending on the choice of method, there may also be a need for a specific time when STIBOR T/N will be redefined, when the clearinghouses will make changes to their valuation models and when bilateral agreements, which contain similar valuation models, will be renegotiated.</w:t>
      </w:r>
    </w:p>
    <w:p w14:paraId="142B3920" w14:textId="53CCE4C6" w:rsidR="00A515B5" w:rsidRPr="00F13980" w:rsidRDefault="00A515B5" w:rsidP="00A515B5">
      <w:pPr>
        <w:rPr>
          <w:lang w:val="en-US"/>
        </w:rPr>
      </w:pPr>
    </w:p>
    <w:tbl>
      <w:tblPr>
        <w:tblStyle w:val="Tabellrutnt"/>
        <w:tblW w:w="0" w:type="auto"/>
        <w:tblLook w:val="04A0" w:firstRow="1" w:lastRow="0" w:firstColumn="1" w:lastColumn="0" w:noHBand="0" w:noVBand="1"/>
      </w:tblPr>
      <w:tblGrid>
        <w:gridCol w:w="8268"/>
      </w:tblGrid>
      <w:tr w:rsidR="00DE29CA" w:rsidRPr="00460133" w14:paraId="4203C42D" w14:textId="77777777" w:rsidTr="00041148">
        <w:tc>
          <w:tcPr>
            <w:tcW w:w="8268" w:type="dxa"/>
            <w:shd w:val="clear" w:color="auto" w:fill="8197CB"/>
          </w:tcPr>
          <w:p w14:paraId="4E2A2615" w14:textId="7756CEAD" w:rsidR="00DE29CA" w:rsidRPr="00DB5AEE" w:rsidRDefault="00DE29CA" w:rsidP="00041148">
            <w:pPr>
              <w:rPr>
                <w:lang w:val="en-GB"/>
              </w:rPr>
            </w:pPr>
            <w:r w:rsidRPr="00DB5AEE">
              <w:rPr>
                <w:lang w:val="en-GB"/>
              </w:rPr>
              <w:t>Question 3: Do you think this is a fair description of what needs to be done over time or is there something missing?</w:t>
            </w:r>
          </w:p>
        </w:tc>
      </w:tr>
      <w:tr w:rsidR="00DE29CA" w:rsidRPr="00460133" w14:paraId="33EF2DA7" w14:textId="77777777" w:rsidTr="00041148">
        <w:tc>
          <w:tcPr>
            <w:tcW w:w="8268" w:type="dxa"/>
          </w:tcPr>
          <w:p w14:paraId="2589D64E" w14:textId="77777777" w:rsidR="00DE29CA" w:rsidRPr="00DB5AEE" w:rsidRDefault="00DE29CA" w:rsidP="00041148">
            <w:pPr>
              <w:rPr>
                <w:lang w:val="en-GB"/>
              </w:rPr>
            </w:pPr>
          </w:p>
        </w:tc>
      </w:tr>
    </w:tbl>
    <w:p w14:paraId="0145FA79" w14:textId="77777777" w:rsidR="0002054A" w:rsidRPr="00DB5AEE" w:rsidRDefault="0002054A" w:rsidP="00A515B5">
      <w:pPr>
        <w:rPr>
          <w:lang w:val="en-GB"/>
        </w:rPr>
      </w:pPr>
    </w:p>
    <w:p w14:paraId="257F4782" w14:textId="08DE0EF0" w:rsidR="00A515B5" w:rsidRPr="00DB5AEE" w:rsidRDefault="00A515B5" w:rsidP="00A515B5">
      <w:pPr>
        <w:rPr>
          <w:lang w:val="en-GB"/>
        </w:rPr>
      </w:pPr>
      <w:r w:rsidRPr="00DB5AEE">
        <w:rPr>
          <w:lang w:val="en-GB"/>
        </w:rPr>
        <w:t xml:space="preserve">It is possible to see how these </w:t>
      </w:r>
      <w:r w:rsidR="00944FDB">
        <w:rPr>
          <w:lang w:val="en-GB"/>
        </w:rPr>
        <w:t xml:space="preserve">events </w:t>
      </w:r>
      <w:r w:rsidRPr="00DB5AEE">
        <w:rPr>
          <w:lang w:val="en-GB"/>
        </w:rPr>
        <w:t xml:space="preserve">regarding the change of </w:t>
      </w:r>
      <w:r w:rsidR="00D93BA5">
        <w:rPr>
          <w:lang w:val="en-GB"/>
        </w:rPr>
        <w:t xml:space="preserve">reference </w:t>
      </w:r>
      <w:r w:rsidRPr="00DB5AEE">
        <w:rPr>
          <w:lang w:val="en-GB"/>
        </w:rPr>
        <w:t>rate</w:t>
      </w:r>
      <w:r w:rsidR="00D93BA5">
        <w:rPr>
          <w:lang w:val="en-GB"/>
        </w:rPr>
        <w:t>s</w:t>
      </w:r>
      <w:r w:rsidRPr="00DB5AEE">
        <w:rPr>
          <w:lang w:val="en-GB"/>
        </w:rPr>
        <w:t xml:space="preserve"> could be distributed over time:</w:t>
      </w:r>
    </w:p>
    <w:p w14:paraId="43FB6A2B" w14:textId="77777777" w:rsidR="00A515B5" w:rsidRPr="00DB5AEE" w:rsidRDefault="00A515B5" w:rsidP="00A515B5">
      <w:pPr>
        <w:rPr>
          <w:lang w:val="en-GB"/>
        </w:rPr>
      </w:pPr>
    </w:p>
    <w:p w14:paraId="1F988D12" w14:textId="2D596082" w:rsidR="00A515B5" w:rsidRPr="00DB5AEE" w:rsidRDefault="00DE29CA" w:rsidP="00A515B5">
      <w:pPr>
        <w:rPr>
          <w:lang w:val="en-GB"/>
        </w:rPr>
      </w:pPr>
      <w:r w:rsidRPr="00DB5AEE">
        <w:rPr>
          <w:noProof/>
          <w:lang w:val="en-GB"/>
        </w:rPr>
        <w:drawing>
          <wp:inline distT="0" distB="0" distL="0" distR="0" wp14:anchorId="195E407C" wp14:editId="5B5D8237">
            <wp:extent cx="4733925" cy="923925"/>
            <wp:effectExtent l="0" t="0" r="0" b="0"/>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33925" cy="923925"/>
                    </a:xfrm>
                    <a:prstGeom prst="rect">
                      <a:avLst/>
                    </a:prstGeom>
                    <a:noFill/>
                    <a:ln>
                      <a:noFill/>
                    </a:ln>
                  </pic:spPr>
                </pic:pic>
              </a:graphicData>
            </a:graphic>
          </wp:inline>
        </w:drawing>
      </w:r>
    </w:p>
    <w:p w14:paraId="2DA6C24C" w14:textId="5FEADEF3" w:rsidR="00A515B5" w:rsidRPr="00DB5AEE" w:rsidRDefault="00A515B5" w:rsidP="00A515B5">
      <w:pPr>
        <w:rPr>
          <w:lang w:val="en-GB"/>
        </w:rPr>
      </w:pPr>
    </w:p>
    <w:tbl>
      <w:tblPr>
        <w:tblStyle w:val="Tabellrutnt"/>
        <w:tblW w:w="0" w:type="auto"/>
        <w:tblLook w:val="04A0" w:firstRow="1" w:lastRow="0" w:firstColumn="1" w:lastColumn="0" w:noHBand="0" w:noVBand="1"/>
      </w:tblPr>
      <w:tblGrid>
        <w:gridCol w:w="8268"/>
      </w:tblGrid>
      <w:tr w:rsidR="00904AAE" w:rsidRPr="0033512D" w14:paraId="4E26A0AF" w14:textId="77777777" w:rsidTr="00041148">
        <w:tc>
          <w:tcPr>
            <w:tcW w:w="8268" w:type="dxa"/>
            <w:shd w:val="clear" w:color="auto" w:fill="8197CB"/>
          </w:tcPr>
          <w:p w14:paraId="79690D0D" w14:textId="1D6E1304" w:rsidR="00904AAE" w:rsidRPr="00DB5AEE" w:rsidRDefault="00904AAE" w:rsidP="00041148">
            <w:pPr>
              <w:rPr>
                <w:lang w:val="en-GB"/>
              </w:rPr>
            </w:pPr>
            <w:r w:rsidRPr="00DB5AEE">
              <w:rPr>
                <w:lang w:val="en-GB"/>
              </w:rPr>
              <w:t xml:space="preserve">Question 4: How </w:t>
            </w:r>
            <w:r w:rsidR="0033512D">
              <w:rPr>
                <w:lang w:val="en-GB"/>
              </w:rPr>
              <w:t>much time</w:t>
            </w:r>
            <w:r w:rsidRPr="00DB5AEE">
              <w:rPr>
                <w:lang w:val="en-GB"/>
              </w:rPr>
              <w:t xml:space="preserve"> do you think you need between the time for the publication and the fact that it will no longer be possible to sign new agreements? Justify your answer.</w:t>
            </w:r>
          </w:p>
        </w:tc>
      </w:tr>
      <w:tr w:rsidR="00904AAE" w:rsidRPr="0033512D" w14:paraId="08B3573B" w14:textId="77777777" w:rsidTr="00041148">
        <w:tc>
          <w:tcPr>
            <w:tcW w:w="8268" w:type="dxa"/>
          </w:tcPr>
          <w:p w14:paraId="3AEF483E" w14:textId="77777777" w:rsidR="00904AAE" w:rsidRPr="00DB5AEE" w:rsidRDefault="00904AAE" w:rsidP="00041148">
            <w:pPr>
              <w:rPr>
                <w:lang w:val="en-GB"/>
              </w:rPr>
            </w:pPr>
          </w:p>
        </w:tc>
      </w:tr>
    </w:tbl>
    <w:p w14:paraId="7178A025" w14:textId="77777777" w:rsidR="00A515B5" w:rsidRPr="00DB5AEE" w:rsidRDefault="00A515B5" w:rsidP="00A515B5">
      <w:pPr>
        <w:rPr>
          <w:lang w:val="en-GB"/>
        </w:rPr>
      </w:pPr>
    </w:p>
    <w:tbl>
      <w:tblPr>
        <w:tblStyle w:val="Tabellrutnt"/>
        <w:tblW w:w="0" w:type="auto"/>
        <w:tblLook w:val="04A0" w:firstRow="1" w:lastRow="0" w:firstColumn="1" w:lastColumn="0" w:noHBand="0" w:noVBand="1"/>
      </w:tblPr>
      <w:tblGrid>
        <w:gridCol w:w="8268"/>
      </w:tblGrid>
      <w:tr w:rsidR="00904AAE" w:rsidRPr="00F13980" w14:paraId="15224A9D" w14:textId="77777777" w:rsidTr="00041148">
        <w:tc>
          <w:tcPr>
            <w:tcW w:w="8268" w:type="dxa"/>
            <w:shd w:val="clear" w:color="auto" w:fill="8197CB"/>
          </w:tcPr>
          <w:p w14:paraId="1C5572D0" w14:textId="22DC3129" w:rsidR="00904AAE" w:rsidRPr="00DB5AEE" w:rsidRDefault="00904AAE" w:rsidP="00041148">
            <w:pPr>
              <w:rPr>
                <w:lang w:val="en-GB"/>
              </w:rPr>
            </w:pPr>
            <w:r w:rsidRPr="00DB5AEE">
              <w:rPr>
                <w:lang w:val="en-GB"/>
              </w:rPr>
              <w:t xml:space="preserve">Question 5: How </w:t>
            </w:r>
            <w:r w:rsidR="00885257">
              <w:rPr>
                <w:lang w:val="en-GB"/>
              </w:rPr>
              <w:t>much time</w:t>
            </w:r>
            <w:r w:rsidRPr="00DB5AEE">
              <w:rPr>
                <w:lang w:val="en-GB"/>
              </w:rPr>
              <w:t xml:space="preserve"> do you think you need from when it is not appropriate to sign new contracts and STIBOR T/N stops being published? Justify your answer.</w:t>
            </w:r>
          </w:p>
        </w:tc>
      </w:tr>
      <w:tr w:rsidR="00904AAE" w:rsidRPr="00F13980" w14:paraId="79E8F76D" w14:textId="77777777" w:rsidTr="00041148">
        <w:tc>
          <w:tcPr>
            <w:tcW w:w="8268" w:type="dxa"/>
          </w:tcPr>
          <w:p w14:paraId="5F953396" w14:textId="77777777" w:rsidR="00904AAE" w:rsidRPr="00DB5AEE" w:rsidRDefault="00904AAE" w:rsidP="00041148">
            <w:pPr>
              <w:rPr>
                <w:lang w:val="en-GB"/>
              </w:rPr>
            </w:pPr>
          </w:p>
        </w:tc>
      </w:tr>
    </w:tbl>
    <w:p w14:paraId="4841DA2F" w14:textId="55E97596" w:rsidR="00A515B5" w:rsidRPr="00DB5AEE" w:rsidRDefault="00A515B5" w:rsidP="00A515B5">
      <w:pPr>
        <w:rPr>
          <w:lang w:val="en-GB"/>
        </w:rPr>
      </w:pPr>
    </w:p>
    <w:tbl>
      <w:tblPr>
        <w:tblStyle w:val="Tabellrutnt"/>
        <w:tblW w:w="0" w:type="auto"/>
        <w:tblLook w:val="04A0" w:firstRow="1" w:lastRow="0" w:firstColumn="1" w:lastColumn="0" w:noHBand="0" w:noVBand="1"/>
      </w:tblPr>
      <w:tblGrid>
        <w:gridCol w:w="8268"/>
      </w:tblGrid>
      <w:tr w:rsidR="00904AAE" w:rsidRPr="00460133" w14:paraId="5856A246" w14:textId="77777777" w:rsidTr="00041148">
        <w:tc>
          <w:tcPr>
            <w:tcW w:w="8268" w:type="dxa"/>
            <w:shd w:val="clear" w:color="auto" w:fill="8197CB"/>
          </w:tcPr>
          <w:p w14:paraId="70611B06" w14:textId="682FA57C" w:rsidR="00904AAE" w:rsidRPr="00DB5AEE" w:rsidRDefault="00904AAE" w:rsidP="00041148">
            <w:pPr>
              <w:rPr>
                <w:lang w:val="en-GB"/>
              </w:rPr>
            </w:pPr>
            <w:r w:rsidRPr="00DB5AEE">
              <w:rPr>
                <w:lang w:val="en-GB"/>
              </w:rPr>
              <w:lastRenderedPageBreak/>
              <w:t xml:space="preserve">Question 6: Changes to the calculation basis for collateral should follow an agreement between the parties. Do you think it would help if the </w:t>
            </w:r>
            <w:r w:rsidR="00002350">
              <w:rPr>
                <w:lang w:val="en-GB"/>
              </w:rPr>
              <w:t xml:space="preserve">Swedish </w:t>
            </w:r>
            <w:r w:rsidRPr="00DB5AEE">
              <w:rPr>
                <w:lang w:val="en-GB"/>
              </w:rPr>
              <w:t>Bank</w:t>
            </w:r>
            <w:r w:rsidR="00002350">
              <w:rPr>
                <w:lang w:val="en-GB"/>
              </w:rPr>
              <w:t>ers’</w:t>
            </w:r>
            <w:r w:rsidRPr="00DB5AEE">
              <w:rPr>
                <w:lang w:val="en-GB"/>
              </w:rPr>
              <w:t xml:space="preserve"> Association made a recommendation to its members about how this should be handled?</w:t>
            </w:r>
          </w:p>
        </w:tc>
      </w:tr>
      <w:tr w:rsidR="00904AAE" w:rsidRPr="00460133" w14:paraId="1BCCD6B4" w14:textId="77777777" w:rsidTr="00041148">
        <w:tc>
          <w:tcPr>
            <w:tcW w:w="8268" w:type="dxa"/>
          </w:tcPr>
          <w:p w14:paraId="0E9C4341" w14:textId="77777777" w:rsidR="00904AAE" w:rsidRPr="00DB5AEE" w:rsidRDefault="00904AAE" w:rsidP="00041148">
            <w:pPr>
              <w:rPr>
                <w:lang w:val="en-GB"/>
              </w:rPr>
            </w:pPr>
          </w:p>
        </w:tc>
      </w:tr>
    </w:tbl>
    <w:p w14:paraId="27565017" w14:textId="77777777" w:rsidR="00A515B5" w:rsidRPr="00DB5AEE" w:rsidRDefault="00A515B5" w:rsidP="00A515B5">
      <w:pPr>
        <w:pStyle w:val="Rubrik1"/>
        <w:rPr>
          <w:lang w:val="en-GB"/>
        </w:rPr>
      </w:pPr>
      <w:r w:rsidRPr="00DB5AEE">
        <w:rPr>
          <w:lang w:val="en-GB"/>
        </w:rPr>
        <w:t>Method of exchange of interest</w:t>
      </w:r>
    </w:p>
    <w:p w14:paraId="354B420C" w14:textId="2BBFA3E4" w:rsidR="00A515B5" w:rsidRPr="00A515B5" w:rsidRDefault="00A515B5" w:rsidP="00A515B5">
      <w:pPr>
        <w:rPr>
          <w:lang w:val="en-GB"/>
        </w:rPr>
      </w:pPr>
      <w:r w:rsidRPr="00A515B5">
        <w:rPr>
          <w:lang w:val="en-GB"/>
        </w:rPr>
        <w:t xml:space="preserve">There are basically two methods of changing </w:t>
      </w:r>
      <w:r w:rsidR="00D93BA5">
        <w:rPr>
          <w:lang w:val="en-GB"/>
        </w:rPr>
        <w:t>reference</w:t>
      </w:r>
      <w:r w:rsidR="00D93BA5" w:rsidRPr="00A515B5">
        <w:rPr>
          <w:lang w:val="en-GB"/>
        </w:rPr>
        <w:t xml:space="preserve"> </w:t>
      </w:r>
      <w:r w:rsidRPr="00A515B5">
        <w:rPr>
          <w:lang w:val="en-GB"/>
        </w:rPr>
        <w:t>rates. Both methods assume that there is an official opinion that STIBOR T/N will cease to be published at some point in the future. In the following, these two methods have been supplemented with a variant.</w:t>
      </w:r>
    </w:p>
    <w:p w14:paraId="233188F9" w14:textId="7456A7EA" w:rsidR="00A515B5" w:rsidRPr="00DB5AEE" w:rsidRDefault="00A515B5" w:rsidP="00A515B5">
      <w:pPr>
        <w:pStyle w:val="Liststycke"/>
        <w:numPr>
          <w:ilvl w:val="0"/>
          <w:numId w:val="34"/>
        </w:numPr>
        <w:rPr>
          <w:lang w:val="en-GB"/>
        </w:rPr>
      </w:pPr>
      <w:r w:rsidRPr="00DB5AEE">
        <w:rPr>
          <w:lang w:val="en-GB"/>
        </w:rPr>
        <w:t xml:space="preserve">The parallel method: a new market for SWESTR is established in parallel with the existing one. This mainly applies to a new OIS market based on SWESTR being established while the existing STINA market remains. But it also means that derivatives on the new market can be </w:t>
      </w:r>
      <w:r w:rsidR="00044A8A" w:rsidRPr="00DB5AEE">
        <w:rPr>
          <w:lang w:val="en-GB"/>
        </w:rPr>
        <w:t>discounted,</w:t>
      </w:r>
      <w:r w:rsidRPr="00DB5AEE">
        <w:rPr>
          <w:lang w:val="en-GB"/>
        </w:rPr>
        <w:t xml:space="preserve"> and risk managed using the interest rate curve from the new SWESTR-based market, while the STINA market's derivatives and other interest rate derivatives can be managed with the STINA curve. The parallel method is already a fact </w:t>
      </w:r>
      <w:r w:rsidR="006257D3" w:rsidRPr="00DB5AEE">
        <w:rPr>
          <w:lang w:val="en-GB"/>
        </w:rPr>
        <w:t>since</w:t>
      </w:r>
      <w:r w:rsidRPr="00DB5AEE">
        <w:rPr>
          <w:lang w:val="en-GB"/>
        </w:rPr>
        <w:t xml:space="preserve"> there is clearing for SWESTR derivatives at LCH and Nasdaq.</w:t>
      </w:r>
    </w:p>
    <w:p w14:paraId="3E607E4A" w14:textId="26FD8D0F" w:rsidR="00A515B5" w:rsidRPr="00DB5AEE" w:rsidRDefault="00A515B5" w:rsidP="00A515B5">
      <w:pPr>
        <w:pStyle w:val="Liststycke"/>
        <w:numPr>
          <w:ilvl w:val="0"/>
          <w:numId w:val="34"/>
        </w:numPr>
        <w:rPr>
          <w:lang w:val="en-GB"/>
        </w:rPr>
      </w:pPr>
      <w:r w:rsidRPr="00DB5AEE">
        <w:rPr>
          <w:lang w:val="en-GB"/>
        </w:rPr>
        <w:t>The redefinition method: Since an OIS market has already been established, one method could be to redefine STIBOR T/N to SWESTR plus a spread and allow existing contracts to continue in this market with a "SWESTR plus spread" instead of STIBOR T/ N, while new contracts are signed in the SWESTR market and with reference to SWESTR.</w:t>
      </w:r>
    </w:p>
    <w:p w14:paraId="16D9C1D0" w14:textId="0CF2F49D" w:rsidR="00A515B5" w:rsidRPr="004D67AA" w:rsidRDefault="00A515B5" w:rsidP="004D67AA">
      <w:pPr>
        <w:pStyle w:val="Liststycke"/>
        <w:numPr>
          <w:ilvl w:val="0"/>
          <w:numId w:val="34"/>
        </w:numPr>
        <w:rPr>
          <w:lang w:val="en-GB"/>
        </w:rPr>
      </w:pPr>
      <w:r w:rsidRPr="00DB5AEE">
        <w:rPr>
          <w:lang w:val="en-GB"/>
        </w:rPr>
        <w:t xml:space="preserve">Variant of the parallel method: Since it is probably not that common for financial </w:t>
      </w:r>
      <w:r w:rsidR="00761DAA">
        <w:rPr>
          <w:lang w:val="en-GB"/>
        </w:rPr>
        <w:t>contracts</w:t>
      </w:r>
      <w:r w:rsidR="00761DAA" w:rsidRPr="00DB5AEE">
        <w:rPr>
          <w:lang w:val="en-GB"/>
        </w:rPr>
        <w:t xml:space="preserve"> </w:t>
      </w:r>
      <w:r w:rsidRPr="00DB5AEE">
        <w:rPr>
          <w:lang w:val="en-GB"/>
        </w:rPr>
        <w:t xml:space="preserve">to contain </w:t>
      </w:r>
      <w:r w:rsidR="00407481">
        <w:rPr>
          <w:lang w:val="en-GB"/>
        </w:rPr>
        <w:t>wording</w:t>
      </w:r>
      <w:r w:rsidRPr="00DB5AEE">
        <w:rPr>
          <w:lang w:val="en-GB"/>
        </w:rPr>
        <w:t xml:space="preserve"> about what happens when the reference rate ends (fallback clauses), most agreements will have to be renegotiated. There are probably no such fallback clauses in the CSA agreement or in the membership agreement for the clearing houses. The </w:t>
      </w:r>
      <w:r w:rsidR="00044796">
        <w:rPr>
          <w:lang w:val="en-GB"/>
        </w:rPr>
        <w:t xml:space="preserve">Swedish </w:t>
      </w:r>
      <w:r w:rsidR="00643FF1">
        <w:rPr>
          <w:lang w:val="en-GB"/>
        </w:rPr>
        <w:t>B</w:t>
      </w:r>
      <w:r w:rsidRPr="00DB5AEE">
        <w:rPr>
          <w:lang w:val="en-GB"/>
        </w:rPr>
        <w:t>ank</w:t>
      </w:r>
      <w:r w:rsidR="00643FF1">
        <w:rPr>
          <w:lang w:val="en-GB"/>
        </w:rPr>
        <w:t>ers’</w:t>
      </w:r>
      <w:r w:rsidRPr="00DB5AEE">
        <w:rPr>
          <w:lang w:val="en-GB"/>
        </w:rPr>
        <w:t xml:space="preserve"> </w:t>
      </w:r>
      <w:r w:rsidR="00643FF1">
        <w:rPr>
          <w:lang w:val="en-GB"/>
        </w:rPr>
        <w:t>A</w:t>
      </w:r>
      <w:r w:rsidRPr="00DB5AEE">
        <w:rPr>
          <w:lang w:val="en-GB"/>
        </w:rPr>
        <w:t xml:space="preserve">ssociation could come up with a recommendation that the renegotiations should strive to achieve that STIBOR T/N should be equal to SWESTR plus a spread, based on what has been stated in the existing </w:t>
      </w:r>
      <w:r w:rsidR="00DC6205">
        <w:rPr>
          <w:lang w:val="en-GB"/>
        </w:rPr>
        <w:t xml:space="preserve">Swedish </w:t>
      </w:r>
      <w:r w:rsidRPr="00DB5AEE">
        <w:rPr>
          <w:lang w:val="en-GB"/>
        </w:rPr>
        <w:t>Bank</w:t>
      </w:r>
      <w:r w:rsidR="007F5540">
        <w:rPr>
          <w:lang w:val="en-GB"/>
        </w:rPr>
        <w:t>ers’</w:t>
      </w:r>
      <w:r w:rsidRPr="00DB5AEE">
        <w:rPr>
          <w:lang w:val="en-GB"/>
        </w:rPr>
        <w:t xml:space="preserve"> Association recommendation </w:t>
      </w:r>
      <w:r w:rsidR="00566EDE">
        <w:rPr>
          <w:lang w:val="en-GB"/>
        </w:rPr>
        <w:t xml:space="preserve">regarding </w:t>
      </w:r>
      <w:r w:rsidR="004D67AA">
        <w:rPr>
          <w:lang w:val="en-GB"/>
        </w:rPr>
        <w:t>a fallback rate for Stibor</w:t>
      </w:r>
      <w:r w:rsidRPr="004D67AA">
        <w:rPr>
          <w:lang w:val="en-GB"/>
        </w:rPr>
        <w:t>. It states that the spread should be the median of the difference between STIBOR T/N and SWESTR over the past five years.</w:t>
      </w:r>
    </w:p>
    <w:p w14:paraId="3AED15BD" w14:textId="77777777" w:rsidR="00A515B5" w:rsidRPr="00DB5AEE" w:rsidRDefault="00A515B5" w:rsidP="00A515B5">
      <w:pPr>
        <w:rPr>
          <w:lang w:val="en-GB"/>
        </w:rPr>
      </w:pPr>
    </w:p>
    <w:p w14:paraId="3467D0F2" w14:textId="77777777" w:rsidR="00A515B5" w:rsidRPr="00A515B5" w:rsidRDefault="00A515B5" w:rsidP="00A515B5">
      <w:pPr>
        <w:rPr>
          <w:lang w:val="en-GB"/>
        </w:rPr>
      </w:pPr>
      <w:r w:rsidRPr="00A515B5">
        <w:rPr>
          <w:lang w:val="en-GB"/>
        </w:rPr>
        <w:t>There has been criticism of the Parallel Method that it will not push for a transition to the new interest rate. The redefinition method does not give the parties any choice. However, the redefinition method will lead to the entire process taking time because a change to the method requires a legal process involving an authority decision by the Financial Supervisory Authority.</w:t>
      </w:r>
    </w:p>
    <w:p w14:paraId="1716F227" w14:textId="332AE1AE" w:rsidR="00A515B5" w:rsidRPr="00DB5AEE" w:rsidRDefault="00A515B5" w:rsidP="00A515B5">
      <w:pPr>
        <w:rPr>
          <w:lang w:val="en-GB"/>
        </w:rPr>
      </w:pPr>
    </w:p>
    <w:tbl>
      <w:tblPr>
        <w:tblStyle w:val="Tabellrutnt"/>
        <w:tblW w:w="0" w:type="auto"/>
        <w:tblLook w:val="04A0" w:firstRow="1" w:lastRow="0" w:firstColumn="1" w:lastColumn="0" w:noHBand="0" w:noVBand="1"/>
      </w:tblPr>
      <w:tblGrid>
        <w:gridCol w:w="8268"/>
      </w:tblGrid>
      <w:tr w:rsidR="00904AAE" w:rsidRPr="00460133" w14:paraId="23F3C308" w14:textId="77777777" w:rsidTr="00041148">
        <w:tc>
          <w:tcPr>
            <w:tcW w:w="8268" w:type="dxa"/>
            <w:shd w:val="clear" w:color="auto" w:fill="8197CB"/>
          </w:tcPr>
          <w:p w14:paraId="6CF23BF9" w14:textId="0F5BFD85" w:rsidR="00904AAE" w:rsidRPr="00DB5AEE" w:rsidRDefault="00904AAE" w:rsidP="00041148">
            <w:pPr>
              <w:rPr>
                <w:lang w:val="en-GB"/>
              </w:rPr>
            </w:pPr>
            <w:r w:rsidRPr="00DB5AEE">
              <w:rPr>
                <w:lang w:val="en-GB"/>
              </w:rPr>
              <w:lastRenderedPageBreak/>
              <w:t xml:space="preserve">Question 7: Which method of transition do you prefer? Please state how you argue, why you prefer your alternative and why the other alternatives are not recommended. Since there are already parallel markets, we ask that you only indicate how this can be handled in the most appropriate way, also </w:t>
            </w:r>
            <w:r w:rsidR="00B46967">
              <w:rPr>
                <w:lang w:val="en-GB"/>
              </w:rPr>
              <w:t xml:space="preserve">considering </w:t>
            </w:r>
            <w:r w:rsidRPr="00DB5AEE">
              <w:rPr>
                <w:lang w:val="en-GB"/>
              </w:rPr>
              <w:t>other uses of STIBOR T/N (valuation) and occurrence of STIBOR T/N in other types of agreements.</w:t>
            </w:r>
          </w:p>
        </w:tc>
      </w:tr>
      <w:tr w:rsidR="00904AAE" w:rsidRPr="00460133" w14:paraId="332D6AA5" w14:textId="77777777" w:rsidTr="00041148">
        <w:tc>
          <w:tcPr>
            <w:tcW w:w="8268" w:type="dxa"/>
          </w:tcPr>
          <w:p w14:paraId="598DE23F" w14:textId="77777777" w:rsidR="00904AAE" w:rsidRPr="00DB5AEE" w:rsidRDefault="00904AAE" w:rsidP="00041148">
            <w:pPr>
              <w:rPr>
                <w:lang w:val="en-GB"/>
              </w:rPr>
            </w:pPr>
          </w:p>
        </w:tc>
      </w:tr>
    </w:tbl>
    <w:p w14:paraId="3A1B995A" w14:textId="38D3CBD0" w:rsidR="00A515B5" w:rsidRPr="00DB5AEE" w:rsidRDefault="00A515B5" w:rsidP="00A515B5">
      <w:pPr>
        <w:rPr>
          <w:lang w:val="en-GB"/>
        </w:rPr>
      </w:pPr>
    </w:p>
    <w:tbl>
      <w:tblPr>
        <w:tblStyle w:val="Tabellrutnt"/>
        <w:tblW w:w="0" w:type="auto"/>
        <w:tblLook w:val="04A0" w:firstRow="1" w:lastRow="0" w:firstColumn="1" w:lastColumn="0" w:noHBand="0" w:noVBand="1"/>
      </w:tblPr>
      <w:tblGrid>
        <w:gridCol w:w="8268"/>
      </w:tblGrid>
      <w:tr w:rsidR="00904AAE" w:rsidRPr="00460133" w14:paraId="4626BAEF" w14:textId="77777777" w:rsidTr="00041148">
        <w:tc>
          <w:tcPr>
            <w:tcW w:w="8268" w:type="dxa"/>
            <w:shd w:val="clear" w:color="auto" w:fill="8197CB"/>
          </w:tcPr>
          <w:p w14:paraId="2C975F10" w14:textId="303EAB27" w:rsidR="00904AAE" w:rsidRPr="00DB5AEE" w:rsidRDefault="00904AAE" w:rsidP="00041148">
            <w:pPr>
              <w:rPr>
                <w:lang w:val="en-GB"/>
              </w:rPr>
            </w:pPr>
            <w:r w:rsidRPr="00DB5AEE">
              <w:rPr>
                <w:lang w:val="en-GB"/>
              </w:rPr>
              <w:t>Question 8: Do you see any other alternative method of transition or a combination of the proposed alternatives?</w:t>
            </w:r>
          </w:p>
        </w:tc>
      </w:tr>
      <w:tr w:rsidR="00904AAE" w:rsidRPr="00460133" w14:paraId="273D1242" w14:textId="77777777" w:rsidTr="00041148">
        <w:tc>
          <w:tcPr>
            <w:tcW w:w="8268" w:type="dxa"/>
          </w:tcPr>
          <w:p w14:paraId="56DE3FA9" w14:textId="77777777" w:rsidR="00904AAE" w:rsidRPr="00DB5AEE" w:rsidRDefault="00904AAE" w:rsidP="00041148">
            <w:pPr>
              <w:rPr>
                <w:lang w:val="en-GB"/>
              </w:rPr>
            </w:pPr>
          </w:p>
        </w:tc>
      </w:tr>
    </w:tbl>
    <w:p w14:paraId="45C862B2" w14:textId="77777777" w:rsidR="00A515B5" w:rsidRPr="00DB5AEE" w:rsidRDefault="00A515B5" w:rsidP="00A515B5">
      <w:pPr>
        <w:pStyle w:val="Rubrik1"/>
        <w:rPr>
          <w:lang w:val="en-GB"/>
        </w:rPr>
      </w:pPr>
      <w:r w:rsidRPr="00DB5AEE">
        <w:rPr>
          <w:lang w:val="en-GB"/>
        </w:rPr>
        <w:t>Economic aspects of changing the reference rate</w:t>
      </w:r>
    </w:p>
    <w:p w14:paraId="337F290C" w14:textId="45496F01" w:rsidR="00A515B5" w:rsidRPr="00DB5AEE" w:rsidRDefault="00A515B5" w:rsidP="00A515B5">
      <w:pPr>
        <w:rPr>
          <w:lang w:val="en-GB"/>
        </w:rPr>
      </w:pPr>
      <w:r w:rsidRPr="00DB5AEE">
        <w:rPr>
          <w:lang w:val="en-GB"/>
        </w:rPr>
        <w:t>When changing the reference rate in a financial agreement</w:t>
      </w:r>
      <w:r w:rsidRPr="00992494">
        <w:rPr>
          <w:lang w:val="en-GB"/>
        </w:rPr>
        <w:t xml:space="preserve">, </w:t>
      </w:r>
      <w:r w:rsidR="000E5FFC" w:rsidRPr="00992494">
        <w:rPr>
          <w:lang w:val="en-GB"/>
        </w:rPr>
        <w:t xml:space="preserve">value transfer </w:t>
      </w:r>
      <w:r w:rsidRPr="00992494">
        <w:rPr>
          <w:lang w:val="en-GB"/>
        </w:rPr>
        <w:t>between the parties may occur. To counteract that, standards have been</w:t>
      </w:r>
      <w:r w:rsidRPr="00DB5AEE">
        <w:rPr>
          <w:lang w:val="en-GB"/>
        </w:rPr>
        <w:t xml:space="preserve"> drawn up to eliminate risks of value transfer. The most comprehensive standard available is the one developed by ISDA for Ibors to RFR. This is based on a spread adjustment being determined as the median of historical observations of the daily spread over a five-year period of historical interest rates, which is set relative to the time when STIBOR T/N should be replaced in the future.</w:t>
      </w:r>
    </w:p>
    <w:p w14:paraId="003E76B3" w14:textId="77777777" w:rsidR="00A515B5" w:rsidRPr="00DB5AEE" w:rsidRDefault="00A515B5" w:rsidP="00A515B5">
      <w:pPr>
        <w:rPr>
          <w:lang w:val="en-GB"/>
        </w:rPr>
      </w:pPr>
    </w:p>
    <w:p w14:paraId="775C5D3B" w14:textId="77394449" w:rsidR="00A515B5" w:rsidRPr="00DB5AEE" w:rsidRDefault="00A515B5" w:rsidP="00A515B5">
      <w:pPr>
        <w:rPr>
          <w:lang w:val="en-GB"/>
        </w:rPr>
      </w:pPr>
      <w:r w:rsidRPr="00DB5AEE">
        <w:rPr>
          <w:lang w:val="en-GB"/>
        </w:rPr>
        <w:t xml:space="preserve">The principles in ISDA's standards have been used when the </w:t>
      </w:r>
      <w:r w:rsidR="00E2131E">
        <w:rPr>
          <w:lang w:val="en-GB"/>
        </w:rPr>
        <w:t xml:space="preserve">Swedish </w:t>
      </w:r>
      <w:r w:rsidRPr="00DB5AEE">
        <w:rPr>
          <w:lang w:val="en-GB"/>
        </w:rPr>
        <w:t>Bank</w:t>
      </w:r>
      <w:r w:rsidR="00C15B1B">
        <w:rPr>
          <w:lang w:val="en-GB"/>
        </w:rPr>
        <w:t>ers’</w:t>
      </w:r>
      <w:r w:rsidRPr="00DB5AEE">
        <w:rPr>
          <w:lang w:val="en-GB"/>
        </w:rPr>
        <w:t xml:space="preserve"> Association drew up its recommendation </w:t>
      </w:r>
      <w:r w:rsidR="00E161AC">
        <w:rPr>
          <w:lang w:val="en-GB"/>
        </w:rPr>
        <w:t>regarding a fallback</w:t>
      </w:r>
      <w:r w:rsidRPr="00DB5AEE">
        <w:rPr>
          <w:lang w:val="en-GB"/>
        </w:rPr>
        <w:t>. The principles presented in that recommendation can be used in agreements where</w:t>
      </w:r>
      <w:r w:rsidR="005D6283">
        <w:rPr>
          <w:lang w:val="en-GB"/>
        </w:rPr>
        <w:t xml:space="preserve"> a fallback rate </w:t>
      </w:r>
      <w:r w:rsidRPr="00DB5AEE">
        <w:rPr>
          <w:lang w:val="en-GB"/>
        </w:rPr>
        <w:t>has not been agreed upon.</w:t>
      </w:r>
    </w:p>
    <w:p w14:paraId="2D71A715" w14:textId="77777777" w:rsidR="00A515B5" w:rsidRPr="00DB5AEE" w:rsidRDefault="00A515B5" w:rsidP="00A515B5">
      <w:pPr>
        <w:rPr>
          <w:lang w:val="en-GB"/>
        </w:rPr>
      </w:pPr>
    </w:p>
    <w:p w14:paraId="7C23A239" w14:textId="3F2F5B61" w:rsidR="00A515B5" w:rsidRPr="00DB5AEE" w:rsidRDefault="00A515B5" w:rsidP="00A515B5">
      <w:pPr>
        <w:rPr>
          <w:lang w:val="en-GB"/>
        </w:rPr>
      </w:pPr>
      <w:r w:rsidRPr="00DB5AEE">
        <w:rPr>
          <w:lang w:val="en-GB"/>
        </w:rPr>
        <w:t xml:space="preserve">The </w:t>
      </w:r>
      <w:r w:rsidR="00DF0FEC">
        <w:rPr>
          <w:lang w:val="en-GB"/>
        </w:rPr>
        <w:t xml:space="preserve">Swedish </w:t>
      </w:r>
      <w:r w:rsidR="00202A3A">
        <w:rPr>
          <w:lang w:val="en-GB"/>
        </w:rPr>
        <w:t>B</w:t>
      </w:r>
      <w:r w:rsidRPr="00DB5AEE">
        <w:rPr>
          <w:lang w:val="en-GB"/>
        </w:rPr>
        <w:t>ank</w:t>
      </w:r>
      <w:r w:rsidR="00533A61">
        <w:rPr>
          <w:lang w:val="en-GB"/>
        </w:rPr>
        <w:t>ers’</w:t>
      </w:r>
      <w:r w:rsidRPr="00DB5AEE">
        <w:rPr>
          <w:lang w:val="en-GB"/>
        </w:rPr>
        <w:t xml:space="preserve"> </w:t>
      </w:r>
      <w:r w:rsidR="00202A3A">
        <w:rPr>
          <w:lang w:val="en-GB"/>
        </w:rPr>
        <w:t>A</w:t>
      </w:r>
      <w:r w:rsidRPr="00DB5AEE">
        <w:rPr>
          <w:lang w:val="en-GB"/>
        </w:rPr>
        <w:t xml:space="preserve">ssociation's recommendation means that the replacement rate should be an adjusted RFR, with the same observation period as the IBOR to be replaced, plus a spread adjustment. </w:t>
      </w:r>
      <w:r w:rsidR="000E0369">
        <w:rPr>
          <w:lang w:val="en-GB"/>
        </w:rPr>
        <w:t>However,</w:t>
      </w:r>
      <w:r w:rsidR="005D6283" w:rsidRPr="00DB5AEE">
        <w:rPr>
          <w:lang w:val="en-GB"/>
        </w:rPr>
        <w:t xml:space="preserve"> </w:t>
      </w:r>
      <w:r w:rsidRPr="00DB5AEE">
        <w:rPr>
          <w:lang w:val="en-GB"/>
        </w:rPr>
        <w:t xml:space="preserve">STIBOR T/N, the recommendation states that no adjustment takes place, but only SWESTR is used. Bloomberg </w:t>
      </w:r>
      <w:r w:rsidR="00241E7A">
        <w:rPr>
          <w:lang w:val="en-GB"/>
        </w:rPr>
        <w:t>publishes</w:t>
      </w:r>
      <w:r w:rsidR="00241E7A" w:rsidRPr="00DB5AEE">
        <w:rPr>
          <w:lang w:val="en-GB"/>
        </w:rPr>
        <w:t xml:space="preserve"> </w:t>
      </w:r>
      <w:r w:rsidRPr="00DB5AEE">
        <w:rPr>
          <w:lang w:val="en-GB"/>
        </w:rPr>
        <w:t xml:space="preserve">replacement rates for STIBOR. In its system, Bloomberg has not </w:t>
      </w:r>
      <w:proofErr w:type="gramStart"/>
      <w:r w:rsidRPr="00DB5AEE">
        <w:rPr>
          <w:lang w:val="en-GB"/>
        </w:rPr>
        <w:t>taken into account</w:t>
      </w:r>
      <w:proofErr w:type="gramEnd"/>
      <w:r w:rsidRPr="00DB5AEE">
        <w:rPr>
          <w:lang w:val="en-GB"/>
        </w:rPr>
        <w:t xml:space="preserve"> that SWESTR and STIBOR T/N have different start times. Thus, the same observation period is not used to obtain spread adjustment.</w:t>
      </w:r>
    </w:p>
    <w:p w14:paraId="7E135D7D" w14:textId="77777777" w:rsidR="00A515B5" w:rsidRPr="00DB5AEE" w:rsidRDefault="00A515B5" w:rsidP="00A515B5">
      <w:pPr>
        <w:rPr>
          <w:lang w:val="en-GB"/>
        </w:rPr>
      </w:pPr>
    </w:p>
    <w:p w14:paraId="47F67D1F" w14:textId="24B95BC2" w:rsidR="00A515B5" w:rsidRPr="00DB5AEE" w:rsidRDefault="00A515B5" w:rsidP="00A515B5">
      <w:pPr>
        <w:rPr>
          <w:lang w:val="en-GB"/>
        </w:rPr>
      </w:pPr>
      <w:r w:rsidRPr="00DB5AEE">
        <w:rPr>
          <w:lang w:val="en-GB"/>
        </w:rPr>
        <w:t xml:space="preserve">SWESTR, in its function as replacement </w:t>
      </w:r>
      <w:r w:rsidR="003D1FA6">
        <w:rPr>
          <w:lang w:val="en-GB"/>
        </w:rPr>
        <w:t>rate</w:t>
      </w:r>
      <w:r w:rsidRPr="00DB5AEE">
        <w:rPr>
          <w:lang w:val="en-GB"/>
        </w:rPr>
        <w:t xml:space="preserve">, must be supplemented with a spread adjustment. The standard used internationally means for the exchange in question that the median of the difference between STIBOR T/N and SWESTR (as above) for the last five years is used. Since SWESTR does not have sufficient history, the Riksbank has reconstructed the history for </w:t>
      </w:r>
      <w:r w:rsidR="008B080E">
        <w:rPr>
          <w:lang w:val="en-GB"/>
        </w:rPr>
        <w:t>SWESTR</w:t>
      </w:r>
      <w:r w:rsidR="008B080E" w:rsidRPr="00DB5AEE">
        <w:rPr>
          <w:lang w:val="en-GB"/>
        </w:rPr>
        <w:t xml:space="preserve"> </w:t>
      </w:r>
      <w:r w:rsidRPr="00DB5AEE">
        <w:rPr>
          <w:lang w:val="en-GB"/>
        </w:rPr>
        <w:t xml:space="preserve">five years back in time in a similar way to other RFR interest rates, </w:t>
      </w:r>
      <w:r w:rsidR="00E9387C" w:rsidRPr="00DB5AEE">
        <w:rPr>
          <w:lang w:val="en-GB"/>
        </w:rPr>
        <w:t>e.g.,</w:t>
      </w:r>
      <w:r w:rsidRPr="00DB5AEE">
        <w:rPr>
          <w:lang w:val="en-GB"/>
        </w:rPr>
        <w:t xml:space="preserve"> SOFR, €</w:t>
      </w:r>
      <w:r w:rsidR="008B080E">
        <w:rPr>
          <w:lang w:val="en-GB"/>
        </w:rPr>
        <w:t>STR</w:t>
      </w:r>
      <w:r w:rsidRPr="00DB5AEE">
        <w:rPr>
          <w:lang w:val="en-GB"/>
        </w:rPr>
        <w:t xml:space="preserve">, </w:t>
      </w:r>
      <w:r w:rsidR="008B080E" w:rsidRPr="00DB5AEE">
        <w:rPr>
          <w:lang w:val="en-GB"/>
        </w:rPr>
        <w:t>N</w:t>
      </w:r>
      <w:r w:rsidR="008B080E">
        <w:rPr>
          <w:lang w:val="en-GB"/>
        </w:rPr>
        <w:t>OVA</w:t>
      </w:r>
      <w:r w:rsidRPr="00DB5AEE">
        <w:rPr>
          <w:lang w:val="en-GB"/>
        </w:rPr>
        <w:t>.</w:t>
      </w:r>
    </w:p>
    <w:p w14:paraId="562AD9B7" w14:textId="77777777" w:rsidR="00A515B5" w:rsidRPr="00DB5AEE" w:rsidRDefault="00A515B5" w:rsidP="00A515B5">
      <w:pPr>
        <w:rPr>
          <w:lang w:val="en-GB"/>
        </w:rPr>
      </w:pPr>
    </w:p>
    <w:p w14:paraId="44EF17F3" w14:textId="05779A7F" w:rsidR="00A515B5" w:rsidRPr="00DB5AEE" w:rsidRDefault="00A515B5" w:rsidP="00A515B5">
      <w:pPr>
        <w:rPr>
          <w:lang w:val="en-GB"/>
        </w:rPr>
      </w:pPr>
      <w:r w:rsidRPr="00DB5AEE">
        <w:rPr>
          <w:lang w:val="en-GB"/>
        </w:rPr>
        <w:lastRenderedPageBreak/>
        <w:t xml:space="preserve">This </w:t>
      </w:r>
      <w:r w:rsidR="00A508F4">
        <w:rPr>
          <w:lang w:val="en-GB"/>
        </w:rPr>
        <w:t>fallback</w:t>
      </w:r>
      <w:r w:rsidR="00A508F4" w:rsidRPr="00DB5AEE">
        <w:rPr>
          <w:lang w:val="en-GB"/>
        </w:rPr>
        <w:t xml:space="preserve"> </w:t>
      </w:r>
      <w:r w:rsidRPr="00DB5AEE">
        <w:rPr>
          <w:lang w:val="en-GB"/>
        </w:rPr>
        <w:t xml:space="preserve">rate is published by Bloomberg, on behalf of ISDA, and is available </w:t>
      </w:r>
      <w:r w:rsidR="00A508F4">
        <w:rPr>
          <w:lang w:val="en-GB"/>
        </w:rPr>
        <w:t>delayed</w:t>
      </w:r>
      <w:r w:rsidR="00A508F4" w:rsidRPr="00DB5AEE">
        <w:rPr>
          <w:lang w:val="en-GB"/>
        </w:rPr>
        <w:t xml:space="preserve"> </w:t>
      </w:r>
      <w:r w:rsidRPr="00DB5AEE">
        <w:rPr>
          <w:lang w:val="en-GB"/>
        </w:rPr>
        <w:t xml:space="preserve">on their website, in real time to their subscribers. On their website there are also descriptions of the regulations for how the </w:t>
      </w:r>
      <w:r w:rsidR="00E74905">
        <w:rPr>
          <w:lang w:val="en-GB"/>
        </w:rPr>
        <w:t>fallback rate</w:t>
      </w:r>
      <w:r w:rsidRPr="00DB5AEE">
        <w:rPr>
          <w:lang w:val="en-GB"/>
        </w:rPr>
        <w:t xml:space="preserve"> is calculated.</w:t>
      </w:r>
      <w:r w:rsidR="00AB3330">
        <w:rPr>
          <w:rStyle w:val="Fotnotsreferens"/>
        </w:rPr>
        <w:footnoteReference w:id="5"/>
      </w:r>
    </w:p>
    <w:p w14:paraId="21368AF7" w14:textId="2E46F548" w:rsidR="009F71EA" w:rsidRPr="00DB5AEE" w:rsidRDefault="009F71EA" w:rsidP="009F71EA">
      <w:pPr>
        <w:rPr>
          <w:lang w:val="en-GB"/>
        </w:rPr>
      </w:pPr>
    </w:p>
    <w:tbl>
      <w:tblPr>
        <w:tblStyle w:val="Tabellrutnt"/>
        <w:tblW w:w="0" w:type="auto"/>
        <w:tblLook w:val="04A0" w:firstRow="1" w:lastRow="0" w:firstColumn="1" w:lastColumn="0" w:noHBand="0" w:noVBand="1"/>
      </w:tblPr>
      <w:tblGrid>
        <w:gridCol w:w="8268"/>
      </w:tblGrid>
      <w:tr w:rsidR="00904AAE" w:rsidRPr="00F13980" w14:paraId="2F2BA8AA" w14:textId="77777777" w:rsidTr="00041148">
        <w:tc>
          <w:tcPr>
            <w:tcW w:w="8268" w:type="dxa"/>
            <w:shd w:val="clear" w:color="auto" w:fill="8197CB"/>
          </w:tcPr>
          <w:p w14:paraId="604416CD" w14:textId="60AB9444" w:rsidR="00904AAE" w:rsidRPr="00DB5AEE" w:rsidRDefault="00904AAE" w:rsidP="00041148">
            <w:pPr>
              <w:rPr>
                <w:lang w:val="en-GB"/>
              </w:rPr>
            </w:pPr>
            <w:r w:rsidRPr="00DB5AEE">
              <w:rPr>
                <w:lang w:val="en-GB"/>
              </w:rPr>
              <w:t xml:space="preserve">Question 9: Do you think that the </w:t>
            </w:r>
            <w:r w:rsidR="00E74905">
              <w:rPr>
                <w:lang w:val="en-GB"/>
              </w:rPr>
              <w:t xml:space="preserve">fallback rate </w:t>
            </w:r>
            <w:r w:rsidRPr="00DB5AEE">
              <w:rPr>
                <w:lang w:val="en-GB"/>
              </w:rPr>
              <w:t>should be calculated in a different way than described above? Justify your answer.</w:t>
            </w:r>
          </w:p>
        </w:tc>
      </w:tr>
      <w:tr w:rsidR="00904AAE" w:rsidRPr="00F13980" w14:paraId="43A85A27" w14:textId="77777777" w:rsidTr="00041148">
        <w:tc>
          <w:tcPr>
            <w:tcW w:w="8268" w:type="dxa"/>
          </w:tcPr>
          <w:p w14:paraId="38F254B4" w14:textId="77777777" w:rsidR="00904AAE" w:rsidRPr="00DB5AEE" w:rsidRDefault="00904AAE" w:rsidP="00041148">
            <w:pPr>
              <w:rPr>
                <w:lang w:val="en-GB"/>
              </w:rPr>
            </w:pPr>
          </w:p>
        </w:tc>
      </w:tr>
    </w:tbl>
    <w:p w14:paraId="2AFA920B" w14:textId="09C8EC01" w:rsidR="009F71EA" w:rsidRPr="00DB5AEE" w:rsidRDefault="009F71EA" w:rsidP="009F71EA">
      <w:pPr>
        <w:rPr>
          <w:lang w:val="en-GB"/>
        </w:rPr>
      </w:pPr>
    </w:p>
    <w:tbl>
      <w:tblPr>
        <w:tblStyle w:val="Tabellrutnt"/>
        <w:tblW w:w="0" w:type="auto"/>
        <w:tblLook w:val="04A0" w:firstRow="1" w:lastRow="0" w:firstColumn="1" w:lastColumn="0" w:noHBand="0" w:noVBand="1"/>
      </w:tblPr>
      <w:tblGrid>
        <w:gridCol w:w="8268"/>
      </w:tblGrid>
      <w:tr w:rsidR="00904AAE" w:rsidRPr="00460133" w14:paraId="6A437986" w14:textId="77777777" w:rsidTr="00041148">
        <w:tc>
          <w:tcPr>
            <w:tcW w:w="8268" w:type="dxa"/>
            <w:shd w:val="clear" w:color="auto" w:fill="8197CB"/>
          </w:tcPr>
          <w:p w14:paraId="3585D4DA" w14:textId="6BB3F893" w:rsidR="00904AAE" w:rsidRPr="00DB5AEE" w:rsidRDefault="00904AAE" w:rsidP="00041148">
            <w:pPr>
              <w:rPr>
                <w:lang w:val="en-GB"/>
              </w:rPr>
            </w:pPr>
            <w:r w:rsidRPr="00DB5AEE">
              <w:rPr>
                <w:lang w:val="en-GB"/>
              </w:rPr>
              <w:t xml:space="preserve">Question 10: Do you think that the </w:t>
            </w:r>
            <w:r w:rsidR="00DF0FEC">
              <w:rPr>
                <w:lang w:val="en-GB"/>
              </w:rPr>
              <w:t xml:space="preserve">Swedish </w:t>
            </w:r>
            <w:r w:rsidRPr="00DB5AEE">
              <w:rPr>
                <w:lang w:val="en-GB"/>
              </w:rPr>
              <w:t>Bank</w:t>
            </w:r>
            <w:r w:rsidR="00C45DCF">
              <w:rPr>
                <w:lang w:val="en-GB"/>
              </w:rPr>
              <w:t>ers’</w:t>
            </w:r>
            <w:r w:rsidRPr="00DB5AEE">
              <w:rPr>
                <w:lang w:val="en-GB"/>
              </w:rPr>
              <w:t xml:space="preserve"> Association should give a more detailed description of how the replacement rate should be calculated than what is stated by Bloomberg? Is further clarification needed regarding daily conventions? Feel free to exemplify what needs to be supplemented.</w:t>
            </w:r>
          </w:p>
        </w:tc>
      </w:tr>
      <w:tr w:rsidR="00904AAE" w:rsidRPr="00460133" w14:paraId="60CE2A92" w14:textId="77777777" w:rsidTr="00041148">
        <w:tc>
          <w:tcPr>
            <w:tcW w:w="8268" w:type="dxa"/>
          </w:tcPr>
          <w:p w14:paraId="3999EAB6" w14:textId="77777777" w:rsidR="00904AAE" w:rsidRPr="00DB5AEE" w:rsidRDefault="00904AAE" w:rsidP="00041148">
            <w:pPr>
              <w:rPr>
                <w:lang w:val="en-GB"/>
              </w:rPr>
            </w:pPr>
          </w:p>
        </w:tc>
      </w:tr>
    </w:tbl>
    <w:p w14:paraId="764D12E3" w14:textId="7DA79C86" w:rsidR="009F71EA" w:rsidRPr="00DB5AEE" w:rsidRDefault="009F71EA" w:rsidP="00904AAE">
      <w:pPr>
        <w:pStyle w:val="Rubrik1"/>
        <w:rPr>
          <w:lang w:val="en-GB"/>
        </w:rPr>
      </w:pPr>
      <w:r w:rsidRPr="00DB5AEE">
        <w:rPr>
          <w:lang w:val="en-GB"/>
        </w:rPr>
        <w:t>Other aspects</w:t>
      </w:r>
    </w:p>
    <w:tbl>
      <w:tblPr>
        <w:tblStyle w:val="Tabellrutnt"/>
        <w:tblW w:w="0" w:type="auto"/>
        <w:tblLook w:val="04A0" w:firstRow="1" w:lastRow="0" w:firstColumn="1" w:lastColumn="0" w:noHBand="0" w:noVBand="1"/>
      </w:tblPr>
      <w:tblGrid>
        <w:gridCol w:w="8268"/>
      </w:tblGrid>
      <w:tr w:rsidR="009F71EA" w:rsidRPr="00460133" w14:paraId="38B5C159" w14:textId="77777777" w:rsidTr="004C1E06">
        <w:tc>
          <w:tcPr>
            <w:tcW w:w="8268" w:type="dxa"/>
            <w:shd w:val="clear" w:color="auto" w:fill="8197CB"/>
          </w:tcPr>
          <w:p w14:paraId="05D43304" w14:textId="4A0E4416" w:rsidR="009F71EA" w:rsidRPr="00DB5AEE" w:rsidRDefault="00904AAE" w:rsidP="00A515B5">
            <w:pPr>
              <w:rPr>
                <w:lang w:val="en-GB"/>
              </w:rPr>
            </w:pPr>
            <w:r w:rsidRPr="00DB5AEE">
              <w:rPr>
                <w:lang w:val="en-GB"/>
              </w:rPr>
              <w:t>Question 11: Is there anything else to add regarding the method of changing STIBOR T/N to SWESTR?</w:t>
            </w:r>
          </w:p>
        </w:tc>
      </w:tr>
      <w:tr w:rsidR="009F71EA" w:rsidRPr="00460133" w14:paraId="0A6A13DC" w14:textId="77777777" w:rsidTr="009F71EA">
        <w:tc>
          <w:tcPr>
            <w:tcW w:w="8268" w:type="dxa"/>
          </w:tcPr>
          <w:p w14:paraId="2FC74335" w14:textId="77777777" w:rsidR="009F71EA" w:rsidRPr="00DB5AEE" w:rsidRDefault="009F71EA" w:rsidP="00A515B5">
            <w:pPr>
              <w:rPr>
                <w:lang w:val="en-GB"/>
              </w:rPr>
            </w:pPr>
          </w:p>
        </w:tc>
      </w:tr>
    </w:tbl>
    <w:p w14:paraId="62212AF1" w14:textId="77777777" w:rsidR="00904AAE" w:rsidRPr="00DB5AEE" w:rsidRDefault="00904AAE" w:rsidP="00BF458B">
      <w:pPr>
        <w:rPr>
          <w:lang w:val="en-GB"/>
        </w:rPr>
      </w:pPr>
    </w:p>
    <w:sectPr w:rsidR="00904AAE" w:rsidRPr="00DB5AEE" w:rsidSect="00E932E1">
      <w:headerReference w:type="even" r:id="rId12"/>
      <w:headerReference w:type="default" r:id="rId13"/>
      <w:footerReference w:type="even" r:id="rId14"/>
      <w:footerReference w:type="default" r:id="rId15"/>
      <w:headerReference w:type="first" r:id="rId16"/>
      <w:footerReference w:type="first" r:id="rId17"/>
      <w:pgSz w:w="11907" w:h="16839" w:code="9"/>
      <w:pgMar w:top="2835" w:right="1304" w:bottom="1361" w:left="2325"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A307B" w14:textId="77777777" w:rsidR="00E36DDE" w:rsidRDefault="00E36DDE" w:rsidP="00A75A57">
      <w:pPr>
        <w:spacing w:line="240" w:lineRule="auto"/>
      </w:pPr>
      <w:r>
        <w:separator/>
      </w:r>
    </w:p>
  </w:endnote>
  <w:endnote w:type="continuationSeparator" w:id="0">
    <w:p w14:paraId="5B25D2EE" w14:textId="77777777" w:rsidR="00E36DDE" w:rsidRDefault="00E36DDE" w:rsidP="00A75A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6A0B6" w14:textId="77777777" w:rsidR="0002054A" w:rsidRDefault="0002054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A4B1" w14:textId="77777777" w:rsidR="0002054A" w:rsidRDefault="0002054A">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tblpY="14686"/>
      <w:tblOverlap w:val="never"/>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tblGrid>
    <w:tr w:rsidR="00E932E1" w14:paraId="766B56BD" w14:textId="77777777" w:rsidTr="00E932E1">
      <w:trPr>
        <w:cantSplit/>
        <w:trHeight w:hRule="exact" w:val="851"/>
      </w:trPr>
      <w:tc>
        <w:tcPr>
          <w:tcW w:w="8222" w:type="dxa"/>
          <w:shd w:val="clear" w:color="auto" w:fill="auto"/>
          <w:tcMar>
            <w:left w:w="0" w:type="dxa"/>
            <w:right w:w="0" w:type="dxa"/>
          </w:tcMar>
        </w:tcPr>
        <w:p w14:paraId="73148CD2" w14:textId="77777777" w:rsidR="00E932E1" w:rsidRDefault="00E932E1" w:rsidP="00E932E1">
          <w:pPr>
            <w:pStyle w:val="Sidfot"/>
          </w:pPr>
        </w:p>
      </w:tc>
    </w:tr>
    <w:tr w:rsidR="00A75A57" w14:paraId="7BE819A3" w14:textId="77777777" w:rsidTr="00E932E1">
      <w:trPr>
        <w:cantSplit/>
        <w:trHeight w:val="283"/>
      </w:trPr>
      <w:tc>
        <w:tcPr>
          <w:tcW w:w="8222" w:type="dxa"/>
          <w:shd w:val="clear" w:color="auto" w:fill="auto"/>
          <w:tcMar>
            <w:left w:w="0" w:type="dxa"/>
            <w:right w:w="0" w:type="dxa"/>
          </w:tcMar>
        </w:tcPr>
        <w:p w14:paraId="0EEB8208" w14:textId="77777777" w:rsidR="00A75A57" w:rsidRDefault="00A75A57" w:rsidP="00E932E1">
          <w:pPr>
            <w:pStyle w:val="Sidfot"/>
          </w:pPr>
          <w:bookmarkStart w:id="9" w:name="xxFooterCell1"/>
          <w:bookmarkStart w:id="10" w:name="xxAddressCell1"/>
          <w:bookmarkStart w:id="11" w:name="xxAddress1"/>
          <w:bookmarkStart w:id="12" w:name="xxFooter1"/>
          <w:bookmarkEnd w:id="9"/>
          <w:bookmarkEnd w:id="10"/>
          <w:bookmarkEnd w:id="11"/>
          <w:bookmarkEnd w:id="12"/>
        </w:p>
      </w:tc>
    </w:tr>
  </w:tbl>
  <w:p w14:paraId="122C6CEA" w14:textId="77777777" w:rsidR="00A75A57" w:rsidRPr="0038209D" w:rsidRDefault="00A75A57" w:rsidP="0038209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AF569" w14:textId="77777777" w:rsidR="00E36DDE" w:rsidRDefault="00E36DDE" w:rsidP="00A75A57">
      <w:pPr>
        <w:spacing w:line="240" w:lineRule="auto"/>
      </w:pPr>
      <w:r>
        <w:separator/>
      </w:r>
    </w:p>
  </w:footnote>
  <w:footnote w:type="continuationSeparator" w:id="0">
    <w:p w14:paraId="4BBE7ACB" w14:textId="77777777" w:rsidR="00E36DDE" w:rsidRDefault="00E36DDE" w:rsidP="00A75A57">
      <w:pPr>
        <w:spacing w:line="240" w:lineRule="auto"/>
      </w:pPr>
      <w:r>
        <w:continuationSeparator/>
      </w:r>
    </w:p>
  </w:footnote>
  <w:footnote w:id="1">
    <w:p w14:paraId="11FD31C0" w14:textId="12BAD975" w:rsidR="00D62A69" w:rsidRPr="00D62A69" w:rsidRDefault="00D62A69">
      <w:pPr>
        <w:pStyle w:val="Fotnotstext"/>
        <w:rPr>
          <w:lang w:val="en-US"/>
        </w:rPr>
      </w:pPr>
      <w:r>
        <w:rPr>
          <w:rStyle w:val="Fotnotsreferens"/>
        </w:rPr>
        <w:footnoteRef/>
      </w:r>
      <w:r w:rsidRPr="00D62A69">
        <w:rPr>
          <w:lang w:val="en-US"/>
        </w:rPr>
        <w:t xml:space="preserve"> </w:t>
      </w:r>
      <w:r w:rsidR="00956612" w:rsidRPr="00C15141">
        <w:rPr>
          <w:color w:val="202124"/>
          <w:shd w:val="clear" w:color="auto" w:fill="F8F9FA"/>
          <w:lang w:val="en-US"/>
        </w:rPr>
        <w:t>I</w:t>
      </w:r>
      <w:r w:rsidR="00956612">
        <w:rPr>
          <w:color w:val="202124"/>
          <w:shd w:val="clear" w:color="auto" w:fill="F8F9FA"/>
          <w:lang w:val="en-US"/>
        </w:rPr>
        <w:t>bor</w:t>
      </w:r>
      <w:r w:rsidR="00956612" w:rsidRPr="00C15141">
        <w:rPr>
          <w:color w:val="202124"/>
          <w:shd w:val="clear" w:color="auto" w:fill="F8F9FA"/>
          <w:lang w:val="en-US"/>
        </w:rPr>
        <w:t xml:space="preserve">s </w:t>
      </w:r>
      <w:r w:rsidRPr="00C15141">
        <w:rPr>
          <w:color w:val="202124"/>
          <w:shd w:val="clear" w:color="auto" w:fill="F8F9FA"/>
          <w:lang w:val="en-US"/>
        </w:rPr>
        <w:t xml:space="preserve">refers to interbank interest rates throughout. For </w:t>
      </w:r>
      <w:r w:rsidR="00992494" w:rsidRPr="00C15141">
        <w:rPr>
          <w:color w:val="202124"/>
          <w:shd w:val="clear" w:color="auto" w:fill="F8F9FA"/>
          <w:lang w:val="en-US"/>
        </w:rPr>
        <w:t>example,</w:t>
      </w:r>
      <w:r w:rsidRPr="00C15141">
        <w:rPr>
          <w:color w:val="202124"/>
          <w:shd w:val="clear" w:color="auto" w:fill="F8F9FA"/>
          <w:lang w:val="en-US"/>
        </w:rPr>
        <w:t xml:space="preserve"> </w:t>
      </w:r>
      <w:r w:rsidR="005A7A62">
        <w:rPr>
          <w:color w:val="202124"/>
          <w:shd w:val="clear" w:color="auto" w:fill="F8F9FA"/>
          <w:lang w:val="en-US"/>
        </w:rPr>
        <w:t>LIBOR</w:t>
      </w:r>
      <w:r w:rsidRPr="00C15141">
        <w:rPr>
          <w:color w:val="202124"/>
          <w:shd w:val="clear" w:color="auto" w:fill="F8F9FA"/>
          <w:lang w:val="en-US"/>
        </w:rPr>
        <w:t xml:space="preserve">, </w:t>
      </w:r>
      <w:r w:rsidR="005A7A62">
        <w:rPr>
          <w:color w:val="202124"/>
          <w:shd w:val="clear" w:color="auto" w:fill="F8F9FA"/>
          <w:lang w:val="en-US"/>
        </w:rPr>
        <w:t>CIBOR</w:t>
      </w:r>
      <w:r w:rsidRPr="00C15141">
        <w:rPr>
          <w:color w:val="202124"/>
          <w:shd w:val="clear" w:color="auto" w:fill="F8F9FA"/>
          <w:lang w:val="en-US"/>
        </w:rPr>
        <w:t xml:space="preserve">, </w:t>
      </w:r>
      <w:r w:rsidR="005A7A62">
        <w:rPr>
          <w:color w:val="202124"/>
          <w:shd w:val="clear" w:color="auto" w:fill="F8F9FA"/>
          <w:lang w:val="en-US"/>
        </w:rPr>
        <w:t>NIBOR</w:t>
      </w:r>
      <w:r w:rsidRPr="00C15141">
        <w:rPr>
          <w:color w:val="202124"/>
          <w:shd w:val="clear" w:color="auto" w:fill="F8F9FA"/>
          <w:lang w:val="en-US"/>
        </w:rPr>
        <w:t>.</w:t>
      </w:r>
    </w:p>
  </w:footnote>
  <w:footnote w:id="2">
    <w:p w14:paraId="62A194A7" w14:textId="29A556C4" w:rsidR="00E65239" w:rsidRPr="00992494" w:rsidRDefault="00E65239">
      <w:pPr>
        <w:pStyle w:val="Fotnotstext"/>
        <w:rPr>
          <w:lang w:val="en-US"/>
        </w:rPr>
      </w:pPr>
      <w:r>
        <w:rPr>
          <w:rStyle w:val="Fotnotsreferens"/>
        </w:rPr>
        <w:footnoteRef/>
      </w:r>
      <w:r w:rsidRPr="00992494">
        <w:rPr>
          <w:lang w:val="en-US"/>
        </w:rPr>
        <w:t xml:space="preserve"> </w:t>
      </w:r>
      <w:r w:rsidR="00460133">
        <w:fldChar w:fldCharType="begin"/>
      </w:r>
      <w:r w:rsidR="00460133" w:rsidRPr="00460133">
        <w:rPr>
          <w:lang w:val="en-US"/>
        </w:rPr>
        <w:instrText>HYPERLINK "https://www.riksbank.se/en-gb/statistics/swestr/"</w:instrText>
      </w:r>
      <w:r w:rsidR="00460133">
        <w:fldChar w:fldCharType="separate"/>
      </w:r>
      <w:r w:rsidRPr="00992494">
        <w:rPr>
          <w:rStyle w:val="Hyperlnk"/>
          <w:rFonts w:eastAsiaTheme="majorEastAsia"/>
          <w:lang w:val="en-US"/>
        </w:rPr>
        <w:t>SWESTR | Sveriges Riksbank</w:t>
      </w:r>
      <w:r w:rsidR="00460133">
        <w:rPr>
          <w:rStyle w:val="Hyperlnk"/>
          <w:rFonts w:eastAsiaTheme="majorEastAsia"/>
          <w:lang w:val="en-US"/>
        </w:rPr>
        <w:fldChar w:fldCharType="end"/>
      </w:r>
    </w:p>
  </w:footnote>
  <w:footnote w:id="3">
    <w:p w14:paraId="1864EA03" w14:textId="1A0F66CA" w:rsidR="009C5243" w:rsidRPr="007E454D" w:rsidRDefault="009C5243">
      <w:pPr>
        <w:pStyle w:val="Fotnotstext"/>
        <w:rPr>
          <w:lang w:val="en-US"/>
        </w:rPr>
      </w:pPr>
      <w:r>
        <w:rPr>
          <w:rStyle w:val="Fotnotsreferens"/>
        </w:rPr>
        <w:footnoteRef/>
      </w:r>
      <w:r w:rsidRPr="007E454D">
        <w:rPr>
          <w:lang w:val="en-US"/>
        </w:rPr>
        <w:t xml:space="preserve"> </w:t>
      </w:r>
      <w:r w:rsidR="007E454D" w:rsidRPr="007E454D">
        <w:rPr>
          <w:lang w:val="en-US"/>
        </w:rPr>
        <w:t>R</w:t>
      </w:r>
      <w:r w:rsidR="00D96FAF">
        <w:rPr>
          <w:lang w:val="en-US"/>
        </w:rPr>
        <w:t>egulation</w:t>
      </w:r>
      <w:r w:rsidR="007E454D" w:rsidRPr="007E454D">
        <w:rPr>
          <w:lang w:val="en-US"/>
        </w:rPr>
        <w:t xml:space="preserve"> (EU) 2016/1011 </w:t>
      </w:r>
      <w:r w:rsidR="00D96FAF">
        <w:rPr>
          <w:lang w:val="en-US"/>
        </w:rPr>
        <w:t>of the</w:t>
      </w:r>
      <w:r w:rsidR="007E454D" w:rsidRPr="007E454D">
        <w:rPr>
          <w:lang w:val="en-US"/>
        </w:rPr>
        <w:t xml:space="preserve"> E</w:t>
      </w:r>
      <w:r w:rsidR="00D96FAF">
        <w:rPr>
          <w:lang w:val="en-US"/>
        </w:rPr>
        <w:t>ur</w:t>
      </w:r>
      <w:r w:rsidR="00CB51AA">
        <w:rPr>
          <w:lang w:val="en-US"/>
        </w:rPr>
        <w:t>opean</w:t>
      </w:r>
      <w:r w:rsidR="007E454D" w:rsidRPr="007E454D">
        <w:rPr>
          <w:lang w:val="en-US"/>
        </w:rPr>
        <w:t xml:space="preserve"> P</w:t>
      </w:r>
      <w:r w:rsidR="00CB51AA">
        <w:rPr>
          <w:lang w:val="en-US"/>
        </w:rPr>
        <w:t>arliament</w:t>
      </w:r>
      <w:r w:rsidR="007E454D" w:rsidRPr="007E454D">
        <w:rPr>
          <w:lang w:val="en-US"/>
        </w:rPr>
        <w:t xml:space="preserve"> </w:t>
      </w:r>
      <w:r w:rsidR="00CB51AA">
        <w:rPr>
          <w:lang w:val="en-US"/>
        </w:rPr>
        <w:t xml:space="preserve">and of the </w:t>
      </w:r>
      <w:r w:rsidR="007E454D" w:rsidRPr="007E454D">
        <w:rPr>
          <w:lang w:val="en-US"/>
        </w:rPr>
        <w:t>C</w:t>
      </w:r>
      <w:r w:rsidR="00CB51AA">
        <w:rPr>
          <w:lang w:val="en-US"/>
        </w:rPr>
        <w:t>ouncil</w:t>
      </w:r>
      <w:r w:rsidR="007E454D" w:rsidRPr="007E454D">
        <w:rPr>
          <w:lang w:val="en-US"/>
        </w:rPr>
        <w:t xml:space="preserve"> on indices used as benchmarks in financial instruments and financial contracts or to measure the performance of investment funds</w:t>
      </w:r>
      <w:r w:rsidR="007A6C0E">
        <w:rPr>
          <w:lang w:val="en-US"/>
        </w:rPr>
        <w:t>.</w:t>
      </w:r>
    </w:p>
  </w:footnote>
  <w:footnote w:id="4">
    <w:p w14:paraId="239FD489" w14:textId="1B3D3533" w:rsidR="001C5509" w:rsidRPr="00F13980" w:rsidRDefault="001C5509">
      <w:pPr>
        <w:pStyle w:val="Fotnotstext"/>
        <w:rPr>
          <w:lang w:val="en-US"/>
        </w:rPr>
      </w:pPr>
      <w:r>
        <w:rPr>
          <w:rStyle w:val="Fotnotsreferens"/>
        </w:rPr>
        <w:footnoteRef/>
      </w:r>
      <w:r w:rsidRPr="00F13980">
        <w:rPr>
          <w:lang w:val="en-US"/>
        </w:rPr>
        <w:t xml:space="preserve"> </w:t>
      </w:r>
      <w:hyperlink r:id="rId1" w:history="1">
        <w:r w:rsidRPr="00294B05">
          <w:rPr>
            <w:rStyle w:val="Hyperlnk"/>
            <w:rFonts w:eastAsiaTheme="majorEastAsia"/>
            <w:lang w:val="en-US"/>
          </w:rPr>
          <w:t xml:space="preserve">Recommendation regarding a fallback rate for Stibor | </w:t>
        </w:r>
        <w:proofErr w:type="spellStart"/>
        <w:r w:rsidRPr="00294B05">
          <w:rPr>
            <w:rStyle w:val="Hyperlnk"/>
            <w:rFonts w:eastAsiaTheme="majorEastAsia"/>
            <w:lang w:val="en-US"/>
          </w:rPr>
          <w:t>Swedishbankers</w:t>
        </w:r>
        <w:proofErr w:type="spellEnd"/>
      </w:hyperlink>
    </w:p>
  </w:footnote>
  <w:footnote w:id="5">
    <w:p w14:paraId="586EAFEF" w14:textId="629DFDF3" w:rsidR="00AB3330" w:rsidRPr="00AB3330" w:rsidRDefault="00AB3330">
      <w:pPr>
        <w:pStyle w:val="Fotnotstext"/>
        <w:rPr>
          <w:lang w:val="en-GB"/>
        </w:rPr>
      </w:pPr>
      <w:r>
        <w:rPr>
          <w:rStyle w:val="Fotnotsreferens"/>
        </w:rPr>
        <w:footnoteRef/>
      </w:r>
      <w:r w:rsidRPr="00AB3330">
        <w:rPr>
          <w:lang w:val="en-GB"/>
        </w:rPr>
        <w:t xml:space="preserve"> </w:t>
      </w:r>
      <w:hyperlink r:id="rId2" w:history="1">
        <w:r w:rsidRPr="00B14EF2">
          <w:rPr>
            <w:rStyle w:val="Hyperlnk"/>
            <w:rFonts w:eastAsiaTheme="majorEastAsia"/>
            <w:lang w:val="en-US"/>
          </w:rPr>
          <w:t>LIBOR Resource Center | Bloomberg Professional Services</w:t>
        </w:r>
      </w:hyperlink>
      <w:r w:rsidRPr="00B14EF2">
        <w:rPr>
          <w:rStyle w:val="Hyperlnk"/>
          <w:rFonts w:eastAsiaTheme="majorEastAsia"/>
          <w:lang w:val="en-US"/>
        </w:rPr>
        <w:t xml:space="preserve"> </w:t>
      </w:r>
      <w:r w:rsidRPr="00B14EF2">
        <w:rPr>
          <w:rStyle w:val="y2iqfc"/>
          <w:color w:val="202124"/>
          <w:lang w:val="en"/>
        </w:rPr>
        <w:t>In the published rule book, there is information on which calculation methods were used and historical outcomes for STIBOR are published under SEK STIBOR Fallback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8F02C" w14:textId="77777777" w:rsidR="0002054A" w:rsidRDefault="0002054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908" w:tblpY="852"/>
      <w:tblW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AA7914" w14:paraId="7B39E2D7" w14:textId="77777777" w:rsidTr="00461383">
      <w:trPr>
        <w:cantSplit/>
        <w:trHeight w:val="1814"/>
      </w:trPr>
      <w:tc>
        <w:tcPr>
          <w:tcW w:w="4820" w:type="dxa"/>
          <w:shd w:val="clear" w:color="auto" w:fill="auto"/>
          <w:tcMar>
            <w:left w:w="0" w:type="dxa"/>
            <w:right w:w="0" w:type="dxa"/>
          </w:tcMar>
        </w:tcPr>
        <w:p w14:paraId="42275D7A" w14:textId="77777777" w:rsidR="00AA7914" w:rsidRDefault="0002054A" w:rsidP="00461383">
          <w:pPr>
            <w:pStyle w:val="Sidfot"/>
          </w:pPr>
          <w:bookmarkStart w:id="1" w:name="xxLogga2"/>
          <w:bookmarkStart w:id="2" w:name="xxHeader2" w:colFirst="0" w:colLast="0"/>
          <w:bookmarkEnd w:id="1"/>
          <w:r>
            <w:rPr>
              <w:noProof/>
            </w:rPr>
            <w:drawing>
              <wp:inline distT="0" distB="0" distL="0" distR="0" wp14:anchorId="4692757F" wp14:editId="7BB26226">
                <wp:extent cx="2919984" cy="792480"/>
                <wp:effectExtent l="0" t="0" r="0" b="7620"/>
                <wp:docPr id="2" name="Bildobjekt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2919984" cy="792480"/>
                        </a:xfrm>
                        <a:prstGeom prst="rect">
                          <a:avLst/>
                        </a:prstGeom>
                      </pic:spPr>
                    </pic:pic>
                  </a:graphicData>
                </a:graphic>
              </wp:inline>
            </w:drawing>
          </w:r>
        </w:p>
      </w:tc>
    </w:tr>
    <w:bookmarkEnd w:id="2"/>
  </w:tbl>
  <w:p w14:paraId="76C043EB" w14:textId="77777777" w:rsidR="007B09C9" w:rsidRDefault="007B09C9" w:rsidP="006778F5">
    <w:pPr>
      <w:pStyle w:val="Sidhuvud"/>
      <w:jc w:val="right"/>
    </w:pPr>
  </w:p>
  <w:tbl>
    <w:tblPr>
      <w:tblStyle w:val="Tabellrutnt"/>
      <w:tblpPr w:leftFromText="181" w:rightFromText="181" w:vertAnchor="page" w:tblpXSpec="right" w:tblpY="852"/>
      <w:tblOverlap w:val="never"/>
      <w:tblW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02"/>
    </w:tblGrid>
    <w:tr w:rsidR="0099402B" w14:paraId="4EBDF4D7" w14:textId="77777777" w:rsidTr="00074B9C">
      <w:trPr>
        <w:trHeight w:hRule="exact" w:val="850"/>
      </w:trPr>
      <w:tc>
        <w:tcPr>
          <w:tcW w:w="3402" w:type="dxa"/>
        </w:tcPr>
        <w:p w14:paraId="48FA8B47" w14:textId="77777777" w:rsidR="0099402B" w:rsidRDefault="0099402B" w:rsidP="007B1B52">
          <w:pPr>
            <w:pStyle w:val="Sidhuvud"/>
            <w:jc w:val="right"/>
          </w:pPr>
          <w:bookmarkStart w:id="3" w:name="xxHeaderText2"/>
          <w:bookmarkEnd w:id="3"/>
        </w:p>
      </w:tc>
    </w:tr>
    <w:bookmarkStart w:id="4" w:name="xxPageNo2" w:colFirst="0" w:colLast="0"/>
    <w:tr w:rsidR="0099402B" w14:paraId="46C67D71" w14:textId="77777777" w:rsidTr="00074B9C">
      <w:trPr>
        <w:trHeight w:hRule="exact" w:val="340"/>
      </w:trPr>
      <w:tc>
        <w:tcPr>
          <w:tcW w:w="3402" w:type="dxa"/>
          <w:vAlign w:val="bottom"/>
        </w:tcPr>
        <w:p w14:paraId="6866B1F9" w14:textId="77777777" w:rsidR="0099402B" w:rsidRDefault="0002054A" w:rsidP="007B1B52">
          <w:pPr>
            <w:pStyle w:val="Sidhuvud"/>
            <w:jc w:val="right"/>
          </w:pPr>
          <w:r>
            <w:fldChar w:fldCharType="begin"/>
          </w:r>
          <w:r>
            <w:instrText xml:space="preserve"> PAGE \* MERGEFORMAT </w:instrText>
          </w:r>
          <w:r>
            <w:fldChar w:fldCharType="separate"/>
          </w:r>
          <w:r>
            <w:rPr>
              <w:noProof/>
            </w:rPr>
            <w:t>1</w:t>
          </w:r>
          <w:r>
            <w:fldChar w:fldCharType="end"/>
          </w:r>
          <w:r>
            <w:t xml:space="preserve"> (</w:t>
          </w:r>
          <w:fldSimple w:instr=" NUMPAGES \* MERGEFORMAT ">
            <w:r>
              <w:rPr>
                <w:noProof/>
              </w:rPr>
              <w:t>1</w:t>
            </w:r>
          </w:fldSimple>
          <w:r>
            <w:t>)</w:t>
          </w:r>
        </w:p>
      </w:tc>
    </w:tr>
    <w:bookmarkEnd w:id="4"/>
  </w:tbl>
  <w:p w14:paraId="47C725AD" w14:textId="77777777" w:rsidR="0099402B" w:rsidRDefault="0099402B" w:rsidP="006778F5">
    <w:pPr>
      <w:pStyle w:val="Sidhuvud"/>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81" w:rightFromText="181" w:vertAnchor="page" w:tblpXSpec="right" w:tblpY="852"/>
      <w:tblOverlap w:val="never"/>
      <w:tblW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02"/>
    </w:tblGrid>
    <w:tr w:rsidR="006778F5" w14:paraId="158733C6" w14:textId="77777777" w:rsidTr="00BC1FB2">
      <w:trPr>
        <w:trHeight w:hRule="exact" w:val="851"/>
      </w:trPr>
      <w:tc>
        <w:tcPr>
          <w:tcW w:w="3402" w:type="dxa"/>
        </w:tcPr>
        <w:p w14:paraId="440DCE56" w14:textId="77777777" w:rsidR="00E56F31" w:rsidRDefault="00E56F31" w:rsidP="00E56F31">
          <w:pPr>
            <w:pStyle w:val="Etikett"/>
          </w:pPr>
          <w:bookmarkStart w:id="5" w:name="xxDokumentnamn"/>
          <w:bookmarkEnd w:id="5"/>
        </w:p>
        <w:p w14:paraId="60B186A4" w14:textId="77777777" w:rsidR="00E56F31" w:rsidRPr="00E56F31" w:rsidRDefault="00E56F31" w:rsidP="0099402B">
          <w:pPr>
            <w:pStyle w:val="Sidhuvud"/>
            <w:jc w:val="right"/>
            <w:rPr>
              <w:b/>
              <w:sz w:val="28"/>
              <w:szCs w:val="28"/>
            </w:rPr>
          </w:pPr>
        </w:p>
      </w:tc>
    </w:tr>
    <w:bookmarkStart w:id="6" w:name="xxPageNo1" w:colFirst="0" w:colLast="0"/>
    <w:tr w:rsidR="006778F5" w14:paraId="0760815B" w14:textId="77777777" w:rsidTr="007E1A90">
      <w:trPr>
        <w:trHeight w:hRule="exact" w:val="340"/>
      </w:trPr>
      <w:tc>
        <w:tcPr>
          <w:tcW w:w="3402" w:type="dxa"/>
          <w:vAlign w:val="bottom"/>
        </w:tcPr>
        <w:p w14:paraId="7ED9DF82" w14:textId="77777777" w:rsidR="006778F5" w:rsidRDefault="0002054A" w:rsidP="0099402B">
          <w:pPr>
            <w:pStyle w:val="Sidhuvud"/>
            <w:jc w:val="right"/>
          </w:pPr>
          <w:r>
            <w:fldChar w:fldCharType="begin"/>
          </w:r>
          <w:r>
            <w:instrText xml:space="preserve"> PAGE \* MERGEFORMAT </w:instrText>
          </w:r>
          <w:r>
            <w:fldChar w:fldCharType="separate"/>
          </w:r>
          <w:r>
            <w:rPr>
              <w:noProof/>
            </w:rPr>
            <w:t>1</w:t>
          </w:r>
          <w:r>
            <w:fldChar w:fldCharType="end"/>
          </w:r>
          <w:r>
            <w:t xml:space="preserve"> (</w:t>
          </w:r>
          <w:fldSimple w:instr=" NUMPAGES \* MERGEFORMAT ">
            <w:r>
              <w:rPr>
                <w:noProof/>
              </w:rPr>
              <w:t>1</w:t>
            </w:r>
          </w:fldSimple>
          <w:r>
            <w:t>)</w:t>
          </w:r>
        </w:p>
      </w:tc>
    </w:tr>
    <w:bookmarkEnd w:id="6"/>
  </w:tbl>
  <w:p w14:paraId="1C4F2EBE" w14:textId="77777777" w:rsidR="00A75A57" w:rsidRDefault="00A75A57" w:rsidP="00F26D2A">
    <w:pPr>
      <w:pStyle w:val="Sidhuvud"/>
      <w:jc w:val="right"/>
    </w:pPr>
  </w:p>
  <w:tbl>
    <w:tblPr>
      <w:tblStyle w:val="Tabellrutnt"/>
      <w:tblpPr w:leftFromText="142" w:rightFromText="142" w:vertAnchor="page" w:horzAnchor="page" w:tblpX="908" w:tblpY="852"/>
      <w:tblW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3866CF" w14:paraId="17ACAF71" w14:textId="77777777" w:rsidTr="00B446BA">
      <w:trPr>
        <w:cantSplit/>
        <w:trHeight w:val="1814"/>
      </w:trPr>
      <w:tc>
        <w:tcPr>
          <w:tcW w:w="4820" w:type="dxa"/>
          <w:shd w:val="clear" w:color="auto" w:fill="auto"/>
          <w:tcMar>
            <w:left w:w="0" w:type="dxa"/>
            <w:right w:w="0" w:type="dxa"/>
          </w:tcMar>
        </w:tcPr>
        <w:p w14:paraId="24C0E8B8" w14:textId="77777777" w:rsidR="003866CF" w:rsidRDefault="0002054A" w:rsidP="00B446BA">
          <w:pPr>
            <w:pStyle w:val="Sidfot"/>
          </w:pPr>
          <w:bookmarkStart w:id="7" w:name="xxLogga1"/>
          <w:bookmarkStart w:id="8" w:name="xxHeader1" w:colFirst="0" w:colLast="0"/>
          <w:bookmarkEnd w:id="7"/>
          <w:r>
            <w:rPr>
              <w:noProof/>
            </w:rPr>
            <w:drawing>
              <wp:inline distT="0" distB="0" distL="0" distR="0" wp14:anchorId="056C43EB" wp14:editId="25764871">
                <wp:extent cx="2919984" cy="792480"/>
                <wp:effectExtent l="0" t="0" r="0" b="7620"/>
                <wp:docPr id="1" name="Bildobjekt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919984" cy="792480"/>
                        </a:xfrm>
                        <a:prstGeom prst="rect">
                          <a:avLst/>
                        </a:prstGeom>
                      </pic:spPr>
                    </pic:pic>
                  </a:graphicData>
                </a:graphic>
              </wp:inline>
            </w:drawing>
          </w:r>
        </w:p>
      </w:tc>
    </w:tr>
    <w:bookmarkEnd w:id="8"/>
  </w:tbl>
  <w:p w14:paraId="56D3384C" w14:textId="77777777" w:rsidR="003866CF" w:rsidRDefault="003866CF" w:rsidP="006778F5">
    <w:pPr>
      <w:pStyle w:val="Sidhuvu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10EDE52"/>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0724526"/>
    <w:multiLevelType w:val="multilevel"/>
    <w:tmpl w:val="E2C2C778"/>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Arial" w:hAnsi="Arial" w:cs="Arial"/>
      </w:rPr>
    </w:lvl>
    <w:lvl w:ilvl="2">
      <w:start w:val="1"/>
      <w:numFmt w:val="lowerRoman"/>
      <w:lvlText w:val="-"/>
      <w:lvlJc w:val="left"/>
      <w:pPr>
        <w:tabs>
          <w:tab w:val="num" w:pos="1360"/>
        </w:tabs>
        <w:ind w:left="1360" w:hanging="453"/>
      </w:pPr>
      <w:rPr>
        <w:rFonts w:ascii="Arial" w:hAnsi="Arial" w:cs="Arial"/>
      </w:rPr>
    </w:lvl>
    <w:lvl w:ilvl="3">
      <w:start w:val="1"/>
      <w:numFmt w:val="bullet"/>
      <w:lvlText w:val="-"/>
      <w:lvlJc w:val="left"/>
      <w:pPr>
        <w:tabs>
          <w:tab w:val="num" w:pos="1814"/>
        </w:tabs>
        <w:ind w:left="1814" w:hanging="454"/>
      </w:pPr>
      <w:rPr>
        <w:rFonts w:ascii="Arial" w:hAnsi="Arial" w:cs="Arial"/>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2" w15:restartNumberingAfterBreak="0">
    <w:nsid w:val="00B83B00"/>
    <w:multiLevelType w:val="hybridMultilevel"/>
    <w:tmpl w:val="B3BE28A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2104BF7"/>
    <w:multiLevelType w:val="multilevel"/>
    <w:tmpl w:val="49722D92"/>
    <w:styleLink w:val="Nummerlista"/>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lowerRoman"/>
      <w:lvlText w:val="%3)"/>
      <w:lvlJc w:val="left"/>
      <w:pPr>
        <w:tabs>
          <w:tab w:val="num" w:pos="851"/>
        </w:tabs>
        <w:ind w:left="851" w:hanging="284"/>
      </w:pPr>
      <w:rPr>
        <w:rFonts w:hint="default"/>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4" w15:restartNumberingAfterBreak="0">
    <w:nsid w:val="06CF60E6"/>
    <w:multiLevelType w:val="multilevel"/>
    <w:tmpl w:val="F23C9072"/>
    <w:numStyleLink w:val="CompanyList"/>
  </w:abstractNum>
  <w:abstractNum w:abstractNumId="5" w15:restartNumberingAfterBreak="0">
    <w:nsid w:val="070A349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7840AC5"/>
    <w:multiLevelType w:val="multilevel"/>
    <w:tmpl w:val="FFD8C356"/>
    <w:lvl w:ilvl="0">
      <w:start w:val="1"/>
      <w:numFmt w:val="decimal"/>
      <w:lvlRestart w:val="0"/>
      <w:lvlText w:val="%1)"/>
      <w:lvlJc w:val="left"/>
      <w:pPr>
        <w:tabs>
          <w:tab w:val="num" w:pos="964"/>
        </w:tabs>
        <w:ind w:left="964" w:hanging="964"/>
      </w:pPr>
    </w:lvl>
    <w:lvl w:ilvl="1">
      <w:start w:val="1"/>
      <w:numFmt w:val="decimal"/>
      <w:lvlText w:val="%1.%2)"/>
      <w:lvlJc w:val="left"/>
      <w:pPr>
        <w:tabs>
          <w:tab w:val="num" w:pos="964"/>
        </w:tabs>
        <w:ind w:left="964" w:hanging="964"/>
      </w:pPr>
    </w:lvl>
    <w:lvl w:ilvl="2">
      <w:start w:val="1"/>
      <w:numFmt w:val="decimal"/>
      <w:lvlText w:val="%1.%2.%3)"/>
      <w:lvlJc w:val="left"/>
      <w:pPr>
        <w:tabs>
          <w:tab w:val="num" w:pos="964"/>
        </w:tabs>
        <w:ind w:left="964" w:hanging="964"/>
      </w:pPr>
    </w:lvl>
    <w:lvl w:ilvl="3">
      <w:start w:val="1"/>
      <w:numFmt w:val="decimal"/>
      <w:lvlText w:val="%1.%2.%3.%4)"/>
      <w:lvlJc w:val="left"/>
      <w:pPr>
        <w:tabs>
          <w:tab w:val="num" w:pos="964"/>
        </w:tabs>
        <w:ind w:left="964" w:hanging="9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07865645"/>
    <w:multiLevelType w:val="multilevel"/>
    <w:tmpl w:val="3A38E7AC"/>
    <w:styleLink w:val="Punkterlista"/>
    <w:lvl w:ilvl="0">
      <w:start w:val="1"/>
      <w:numFmt w:val="bullet"/>
      <w:lvlText w:val="●"/>
      <w:lvlJc w:val="left"/>
      <w:pPr>
        <w:tabs>
          <w:tab w:val="num" w:pos="284"/>
        </w:tabs>
        <w:ind w:left="284" w:hanging="284"/>
      </w:pPr>
      <w:rPr>
        <w:rFonts w:ascii="Arial" w:hAnsi="Arial" w:cs="Times New Roman" w:hint="default"/>
        <w:color w:val="auto"/>
        <w:szCs w:val="14"/>
      </w:rPr>
    </w:lvl>
    <w:lvl w:ilvl="1">
      <w:start w:val="1"/>
      <w:numFmt w:val="bullet"/>
      <w:lvlText w:val="-"/>
      <w:lvlJc w:val="left"/>
      <w:pPr>
        <w:tabs>
          <w:tab w:val="num" w:pos="567"/>
        </w:tabs>
        <w:ind w:left="567" w:hanging="283"/>
      </w:pPr>
      <w:rPr>
        <w:rFonts w:ascii="Arial" w:hAnsi="Arial" w:cs="Times New Roman" w:hint="default"/>
        <w:color w:val="auto"/>
        <w:szCs w:val="14"/>
      </w:rPr>
    </w:lvl>
    <w:lvl w:ilvl="2">
      <w:start w:val="1"/>
      <w:numFmt w:val="bullet"/>
      <w:lvlText w:val="-"/>
      <w:lvlJc w:val="left"/>
      <w:pPr>
        <w:tabs>
          <w:tab w:val="num" w:pos="851"/>
        </w:tabs>
        <w:ind w:left="851" w:hanging="284"/>
      </w:pPr>
      <w:rPr>
        <w:rFonts w:ascii="Arial" w:hAnsi="Arial" w:cs="Times New Roman" w:hint="default"/>
        <w:color w:val="auto"/>
        <w:szCs w:val="14"/>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8" w15:restartNumberingAfterBreak="0">
    <w:nsid w:val="116B58C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43572B8"/>
    <w:multiLevelType w:val="multilevel"/>
    <w:tmpl w:val="E2C2C778"/>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Arial" w:hAnsi="Arial" w:cs="Arial"/>
      </w:rPr>
    </w:lvl>
    <w:lvl w:ilvl="2">
      <w:start w:val="1"/>
      <w:numFmt w:val="lowerRoman"/>
      <w:lvlText w:val="-"/>
      <w:lvlJc w:val="left"/>
      <w:pPr>
        <w:tabs>
          <w:tab w:val="num" w:pos="1360"/>
        </w:tabs>
        <w:ind w:left="1360" w:hanging="453"/>
      </w:pPr>
      <w:rPr>
        <w:rFonts w:ascii="Arial" w:hAnsi="Arial" w:cs="Arial"/>
      </w:rPr>
    </w:lvl>
    <w:lvl w:ilvl="3">
      <w:start w:val="1"/>
      <w:numFmt w:val="bullet"/>
      <w:lvlText w:val="-"/>
      <w:lvlJc w:val="left"/>
      <w:pPr>
        <w:tabs>
          <w:tab w:val="num" w:pos="1814"/>
        </w:tabs>
        <w:ind w:left="1814" w:hanging="454"/>
      </w:pPr>
      <w:rPr>
        <w:rFonts w:ascii="Arial" w:hAnsi="Arial" w:cs="Arial"/>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10" w15:restartNumberingAfterBreak="0">
    <w:nsid w:val="14F10ED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8E133CF"/>
    <w:multiLevelType w:val="multilevel"/>
    <w:tmpl w:val="9A36ADB0"/>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Georgia" w:hAnsi="Georgia"/>
      </w:rPr>
    </w:lvl>
    <w:lvl w:ilvl="2">
      <w:start w:val="1"/>
      <w:numFmt w:val="lowerRoman"/>
      <w:lvlText w:val="-"/>
      <w:lvlJc w:val="left"/>
      <w:pPr>
        <w:tabs>
          <w:tab w:val="num" w:pos="1360"/>
        </w:tabs>
        <w:ind w:left="1360" w:hanging="453"/>
      </w:pPr>
      <w:rPr>
        <w:rFonts w:ascii="Georgia" w:hAnsi="Georgia"/>
      </w:rPr>
    </w:lvl>
    <w:lvl w:ilvl="3">
      <w:start w:val="1"/>
      <w:numFmt w:val="bullet"/>
      <w:lvlText w:val="-"/>
      <w:lvlJc w:val="left"/>
      <w:pPr>
        <w:tabs>
          <w:tab w:val="num" w:pos="1814"/>
        </w:tabs>
        <w:ind w:left="1814" w:hanging="454"/>
      </w:pPr>
      <w:rPr>
        <w:rFonts w:ascii="Georgia" w:hAnsi="Georgia"/>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12" w15:restartNumberingAfterBreak="0">
    <w:nsid w:val="1FC21441"/>
    <w:multiLevelType w:val="multilevel"/>
    <w:tmpl w:val="7368F9FE"/>
    <w:lvl w:ilvl="0">
      <w:start w:val="1"/>
      <w:numFmt w:val="decimal"/>
      <w:lvlRestart w:val="0"/>
      <w:lvlText w:val="%1."/>
      <w:lvlJc w:val="left"/>
      <w:pPr>
        <w:tabs>
          <w:tab w:val="num" w:pos="453"/>
        </w:tabs>
        <w:ind w:left="453" w:hanging="453"/>
      </w:pPr>
      <w:rPr>
        <w:rFonts w:ascii="Georgia" w:hAnsi="Georgia" w:cs="Arial" w:hint="default"/>
        <w:sz w:val="20"/>
      </w:rPr>
    </w:lvl>
    <w:lvl w:ilvl="1">
      <w:start w:val="1"/>
      <w:numFmt w:val="lowerLetter"/>
      <w:lvlText w:val="%2)"/>
      <w:lvlJc w:val="left"/>
      <w:pPr>
        <w:tabs>
          <w:tab w:val="num" w:pos="907"/>
        </w:tabs>
        <w:ind w:left="907" w:hanging="454"/>
      </w:pPr>
      <w:rPr>
        <w:rFonts w:ascii="Arial" w:hAnsi="Arial" w:cs="Arial"/>
        <w:sz w:val="20"/>
      </w:rPr>
    </w:lvl>
    <w:lvl w:ilvl="2">
      <w:start w:val="1"/>
      <w:numFmt w:val="lowerRoman"/>
      <w:lvlText w:val="%3)"/>
      <w:lvlJc w:val="left"/>
      <w:pPr>
        <w:tabs>
          <w:tab w:val="num" w:pos="1360"/>
        </w:tabs>
        <w:ind w:left="1360" w:hanging="453"/>
      </w:pPr>
      <w:rPr>
        <w:rFonts w:ascii="Arial" w:hAnsi="Arial" w:cs="Arial"/>
        <w:sz w:val="20"/>
      </w:rPr>
    </w:lvl>
    <w:lvl w:ilvl="3">
      <w:start w:val="1"/>
      <w:numFmt w:val="decimal"/>
      <w:lvlText w:val="%4"/>
      <w:lvlJc w:val="left"/>
      <w:pPr>
        <w:tabs>
          <w:tab w:val="num" w:pos="1814"/>
        </w:tabs>
        <w:ind w:left="1814" w:hanging="454"/>
      </w:pPr>
      <w:rPr>
        <w:rFonts w:ascii="Arial" w:hAnsi="Arial" w:cs="Arial"/>
        <w:sz w:val="20"/>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13" w15:restartNumberingAfterBreak="0">
    <w:nsid w:val="25AA311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7C62201"/>
    <w:multiLevelType w:val="multilevel"/>
    <w:tmpl w:val="9A36ADB0"/>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Georgia" w:hAnsi="Georgia"/>
      </w:rPr>
    </w:lvl>
    <w:lvl w:ilvl="2">
      <w:start w:val="1"/>
      <w:numFmt w:val="lowerRoman"/>
      <w:lvlText w:val="-"/>
      <w:lvlJc w:val="left"/>
      <w:pPr>
        <w:tabs>
          <w:tab w:val="num" w:pos="1360"/>
        </w:tabs>
        <w:ind w:left="1360" w:hanging="453"/>
      </w:pPr>
      <w:rPr>
        <w:rFonts w:ascii="Georgia" w:hAnsi="Georgia"/>
      </w:rPr>
    </w:lvl>
    <w:lvl w:ilvl="3">
      <w:start w:val="1"/>
      <w:numFmt w:val="bullet"/>
      <w:lvlText w:val="-"/>
      <w:lvlJc w:val="left"/>
      <w:pPr>
        <w:tabs>
          <w:tab w:val="num" w:pos="1814"/>
        </w:tabs>
        <w:ind w:left="1814" w:hanging="454"/>
      </w:pPr>
      <w:rPr>
        <w:rFonts w:ascii="Georgia" w:hAnsi="Georgia"/>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15" w15:restartNumberingAfterBreak="0">
    <w:nsid w:val="285B6583"/>
    <w:multiLevelType w:val="multilevel"/>
    <w:tmpl w:val="9D4A89A0"/>
    <w:lvl w:ilvl="0">
      <w:start w:val="1"/>
      <w:numFmt w:val="decimal"/>
      <w:lvlRestart w:val="0"/>
      <w:lvlText w:val="%1."/>
      <w:lvlJc w:val="left"/>
      <w:pPr>
        <w:tabs>
          <w:tab w:val="num" w:pos="453"/>
        </w:tabs>
        <w:ind w:left="453" w:hanging="453"/>
      </w:pPr>
    </w:lvl>
    <w:lvl w:ilvl="1">
      <w:start w:val="1"/>
      <w:numFmt w:val="lowerLetter"/>
      <w:lvlText w:val="%2)"/>
      <w:lvlJc w:val="left"/>
      <w:pPr>
        <w:tabs>
          <w:tab w:val="num" w:pos="907"/>
        </w:tabs>
        <w:ind w:left="907" w:hanging="454"/>
      </w:pPr>
    </w:lvl>
    <w:lvl w:ilvl="2">
      <w:start w:val="1"/>
      <w:numFmt w:val="lowerRoman"/>
      <w:lvlText w:val="%3)"/>
      <w:lvlJc w:val="left"/>
      <w:pPr>
        <w:tabs>
          <w:tab w:val="num" w:pos="1360"/>
        </w:tabs>
        <w:ind w:left="1360" w:hanging="453"/>
      </w:pPr>
    </w:lvl>
    <w:lvl w:ilvl="3">
      <w:start w:val="1"/>
      <w:numFmt w:val="decimal"/>
      <w:lvlText w:val="%4"/>
      <w:lvlJc w:val="left"/>
      <w:pPr>
        <w:tabs>
          <w:tab w:val="num" w:pos="1814"/>
        </w:tabs>
        <w:ind w:left="1814" w:hanging="454"/>
      </w:p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16" w15:restartNumberingAfterBreak="0">
    <w:nsid w:val="28A91837"/>
    <w:multiLevelType w:val="multilevel"/>
    <w:tmpl w:val="9A36ADB0"/>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Georgia" w:hAnsi="Georgia"/>
      </w:rPr>
    </w:lvl>
    <w:lvl w:ilvl="2">
      <w:start w:val="1"/>
      <w:numFmt w:val="lowerRoman"/>
      <w:lvlText w:val="-"/>
      <w:lvlJc w:val="left"/>
      <w:pPr>
        <w:tabs>
          <w:tab w:val="num" w:pos="1360"/>
        </w:tabs>
        <w:ind w:left="1360" w:hanging="453"/>
      </w:pPr>
      <w:rPr>
        <w:rFonts w:ascii="Georgia" w:hAnsi="Georgia"/>
      </w:rPr>
    </w:lvl>
    <w:lvl w:ilvl="3">
      <w:start w:val="1"/>
      <w:numFmt w:val="bullet"/>
      <w:lvlText w:val="-"/>
      <w:lvlJc w:val="left"/>
      <w:pPr>
        <w:tabs>
          <w:tab w:val="num" w:pos="1814"/>
        </w:tabs>
        <w:ind w:left="1814" w:hanging="454"/>
      </w:pPr>
      <w:rPr>
        <w:rFonts w:ascii="Georgia" w:hAnsi="Georgia"/>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17" w15:restartNumberingAfterBreak="0">
    <w:nsid w:val="2C2D067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E9D0502"/>
    <w:multiLevelType w:val="multilevel"/>
    <w:tmpl w:val="94341286"/>
    <w:lvl w:ilvl="0">
      <w:start w:val="1"/>
      <w:numFmt w:val="decimal"/>
      <w:lvlRestart w:val="0"/>
      <w:lvlText w:val="%1."/>
      <w:lvlJc w:val="left"/>
      <w:pPr>
        <w:tabs>
          <w:tab w:val="num" w:pos="453"/>
        </w:tabs>
        <w:ind w:left="453" w:hanging="453"/>
      </w:pPr>
    </w:lvl>
    <w:lvl w:ilvl="1">
      <w:start w:val="1"/>
      <w:numFmt w:val="lowerLetter"/>
      <w:lvlText w:val="%2)"/>
      <w:lvlJc w:val="left"/>
      <w:pPr>
        <w:tabs>
          <w:tab w:val="num" w:pos="907"/>
        </w:tabs>
        <w:ind w:left="907" w:hanging="454"/>
      </w:pPr>
    </w:lvl>
    <w:lvl w:ilvl="2">
      <w:start w:val="1"/>
      <w:numFmt w:val="lowerRoman"/>
      <w:lvlText w:val="%3)"/>
      <w:lvlJc w:val="left"/>
      <w:pPr>
        <w:tabs>
          <w:tab w:val="num" w:pos="1360"/>
        </w:tabs>
        <w:ind w:left="1360" w:hanging="453"/>
      </w:pPr>
    </w:lvl>
    <w:lvl w:ilvl="3">
      <w:start w:val="1"/>
      <w:numFmt w:val="decimal"/>
      <w:lvlText w:val="%4"/>
      <w:lvlJc w:val="left"/>
      <w:pPr>
        <w:tabs>
          <w:tab w:val="num" w:pos="1814"/>
        </w:tabs>
        <w:ind w:left="1814" w:hanging="454"/>
      </w:p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19" w15:restartNumberingAfterBreak="0">
    <w:nsid w:val="2FDE1D2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090308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222068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7CB3440"/>
    <w:multiLevelType w:val="multilevel"/>
    <w:tmpl w:val="F23C9072"/>
    <w:styleLink w:val="CompanyList"/>
    <w:lvl w:ilvl="0">
      <w:start w:val="1"/>
      <w:numFmt w:val="decimal"/>
      <w:lvlRestart w:val="0"/>
      <w:lvlText w:val="%1."/>
      <w:lvlJc w:val="left"/>
      <w:pPr>
        <w:tabs>
          <w:tab w:val="num" w:pos="453"/>
        </w:tabs>
        <w:ind w:left="453" w:hanging="453"/>
      </w:pPr>
      <w:rPr>
        <w:rFonts w:ascii="Symbol" w:hAnsi="Symbol" w:hint="default"/>
      </w:rPr>
    </w:lvl>
    <w:lvl w:ilvl="1">
      <w:start w:val="1"/>
      <w:numFmt w:val="lowerLetter"/>
      <w:lvlText w:val="%2)"/>
      <w:lvlJc w:val="left"/>
      <w:pPr>
        <w:tabs>
          <w:tab w:val="num" w:pos="907"/>
        </w:tabs>
        <w:ind w:left="907" w:hanging="454"/>
      </w:pPr>
      <w:rPr>
        <w:rFonts w:ascii="Arial" w:hAnsi="Arial" w:cs="Arial"/>
      </w:rPr>
    </w:lvl>
    <w:lvl w:ilvl="2">
      <w:start w:val="1"/>
      <w:numFmt w:val="lowerRoman"/>
      <w:lvlText w:val="%3)"/>
      <w:lvlJc w:val="left"/>
      <w:pPr>
        <w:tabs>
          <w:tab w:val="num" w:pos="1360"/>
        </w:tabs>
        <w:ind w:left="1360" w:hanging="453"/>
      </w:pPr>
      <w:rPr>
        <w:rFonts w:ascii="Arial" w:hAnsi="Arial" w:cs="Arial"/>
      </w:rPr>
    </w:lvl>
    <w:lvl w:ilvl="3">
      <w:start w:val="1"/>
      <w:numFmt w:val="decimal"/>
      <w:lvlText w:val="%4"/>
      <w:lvlJc w:val="left"/>
      <w:pPr>
        <w:tabs>
          <w:tab w:val="num" w:pos="1814"/>
        </w:tabs>
        <w:ind w:left="1814" w:hanging="454"/>
      </w:pPr>
      <w:rPr>
        <w:rFonts w:ascii="Arial" w:hAnsi="Arial" w:cs="Arial"/>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23" w15:restartNumberingAfterBreak="0">
    <w:nsid w:val="39A94879"/>
    <w:multiLevelType w:val="multilevel"/>
    <w:tmpl w:val="9A36ADB0"/>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Georgia" w:hAnsi="Georgia"/>
      </w:rPr>
    </w:lvl>
    <w:lvl w:ilvl="2">
      <w:start w:val="1"/>
      <w:numFmt w:val="lowerRoman"/>
      <w:lvlText w:val="-"/>
      <w:lvlJc w:val="left"/>
      <w:pPr>
        <w:tabs>
          <w:tab w:val="num" w:pos="1360"/>
        </w:tabs>
        <w:ind w:left="1360" w:hanging="453"/>
      </w:pPr>
      <w:rPr>
        <w:rFonts w:ascii="Georgia" w:hAnsi="Georgia"/>
      </w:rPr>
    </w:lvl>
    <w:lvl w:ilvl="3">
      <w:start w:val="1"/>
      <w:numFmt w:val="bullet"/>
      <w:lvlText w:val="-"/>
      <w:lvlJc w:val="left"/>
      <w:pPr>
        <w:tabs>
          <w:tab w:val="num" w:pos="1814"/>
        </w:tabs>
        <w:ind w:left="1814" w:hanging="454"/>
      </w:pPr>
      <w:rPr>
        <w:rFonts w:ascii="Georgia" w:hAnsi="Georgia"/>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24" w15:restartNumberingAfterBreak="0">
    <w:nsid w:val="3BED45E6"/>
    <w:multiLevelType w:val="multilevel"/>
    <w:tmpl w:val="9A36ADB0"/>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Georgia" w:hAnsi="Georgia"/>
      </w:rPr>
    </w:lvl>
    <w:lvl w:ilvl="2">
      <w:start w:val="1"/>
      <w:numFmt w:val="lowerRoman"/>
      <w:lvlText w:val="-"/>
      <w:lvlJc w:val="left"/>
      <w:pPr>
        <w:tabs>
          <w:tab w:val="num" w:pos="1360"/>
        </w:tabs>
        <w:ind w:left="1360" w:hanging="453"/>
      </w:pPr>
      <w:rPr>
        <w:rFonts w:ascii="Georgia" w:hAnsi="Georgia"/>
      </w:rPr>
    </w:lvl>
    <w:lvl w:ilvl="3">
      <w:start w:val="1"/>
      <w:numFmt w:val="bullet"/>
      <w:lvlText w:val="-"/>
      <w:lvlJc w:val="left"/>
      <w:pPr>
        <w:tabs>
          <w:tab w:val="num" w:pos="1814"/>
        </w:tabs>
        <w:ind w:left="1814" w:hanging="454"/>
      </w:pPr>
      <w:rPr>
        <w:rFonts w:ascii="Georgia" w:hAnsi="Georgia"/>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25" w15:restartNumberingAfterBreak="0">
    <w:nsid w:val="44AA01C5"/>
    <w:multiLevelType w:val="multilevel"/>
    <w:tmpl w:val="7368F9FE"/>
    <w:lvl w:ilvl="0">
      <w:start w:val="1"/>
      <w:numFmt w:val="decimal"/>
      <w:lvlRestart w:val="0"/>
      <w:lvlText w:val="%1."/>
      <w:lvlJc w:val="left"/>
      <w:pPr>
        <w:tabs>
          <w:tab w:val="num" w:pos="453"/>
        </w:tabs>
        <w:ind w:left="453" w:hanging="453"/>
      </w:pPr>
      <w:rPr>
        <w:rFonts w:ascii="Georgia" w:hAnsi="Georgia" w:cs="Arial" w:hint="default"/>
        <w:sz w:val="20"/>
      </w:rPr>
    </w:lvl>
    <w:lvl w:ilvl="1">
      <w:start w:val="1"/>
      <w:numFmt w:val="lowerLetter"/>
      <w:lvlText w:val="%2)"/>
      <w:lvlJc w:val="left"/>
      <w:pPr>
        <w:tabs>
          <w:tab w:val="num" w:pos="907"/>
        </w:tabs>
        <w:ind w:left="907" w:hanging="454"/>
      </w:pPr>
      <w:rPr>
        <w:rFonts w:ascii="Arial" w:hAnsi="Arial" w:cs="Arial"/>
        <w:sz w:val="20"/>
      </w:rPr>
    </w:lvl>
    <w:lvl w:ilvl="2">
      <w:start w:val="1"/>
      <w:numFmt w:val="lowerRoman"/>
      <w:lvlText w:val="%3)"/>
      <w:lvlJc w:val="left"/>
      <w:pPr>
        <w:tabs>
          <w:tab w:val="num" w:pos="1360"/>
        </w:tabs>
        <w:ind w:left="1360" w:hanging="453"/>
      </w:pPr>
      <w:rPr>
        <w:rFonts w:ascii="Arial" w:hAnsi="Arial" w:cs="Arial"/>
        <w:sz w:val="20"/>
      </w:rPr>
    </w:lvl>
    <w:lvl w:ilvl="3">
      <w:start w:val="1"/>
      <w:numFmt w:val="decimal"/>
      <w:lvlText w:val="%4"/>
      <w:lvlJc w:val="left"/>
      <w:pPr>
        <w:tabs>
          <w:tab w:val="num" w:pos="1814"/>
        </w:tabs>
        <w:ind w:left="1814" w:hanging="454"/>
      </w:pPr>
      <w:rPr>
        <w:rFonts w:ascii="Arial" w:hAnsi="Arial" w:cs="Arial"/>
        <w:sz w:val="20"/>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26" w15:restartNumberingAfterBreak="0">
    <w:nsid w:val="46003B42"/>
    <w:multiLevelType w:val="multilevel"/>
    <w:tmpl w:val="32A0A6BE"/>
    <w:styleLink w:val="CompanyListBullet"/>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Arial" w:hAnsi="Arial" w:cs="Arial"/>
      </w:rPr>
    </w:lvl>
    <w:lvl w:ilvl="2">
      <w:start w:val="1"/>
      <w:numFmt w:val="lowerRoman"/>
      <w:lvlText w:val="-"/>
      <w:lvlJc w:val="left"/>
      <w:pPr>
        <w:tabs>
          <w:tab w:val="num" w:pos="1360"/>
        </w:tabs>
        <w:ind w:left="1360" w:hanging="453"/>
      </w:pPr>
      <w:rPr>
        <w:rFonts w:ascii="Arial" w:hAnsi="Arial" w:cs="Arial"/>
      </w:rPr>
    </w:lvl>
    <w:lvl w:ilvl="3">
      <w:start w:val="1"/>
      <w:numFmt w:val="bullet"/>
      <w:lvlText w:val="-"/>
      <w:lvlJc w:val="left"/>
      <w:pPr>
        <w:tabs>
          <w:tab w:val="num" w:pos="1814"/>
        </w:tabs>
        <w:ind w:left="1814" w:hanging="454"/>
      </w:pPr>
      <w:rPr>
        <w:rFonts w:ascii="Arial" w:hAnsi="Arial" w:cs="Arial"/>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27" w15:restartNumberingAfterBreak="0">
    <w:nsid w:val="46BD73FC"/>
    <w:multiLevelType w:val="multilevel"/>
    <w:tmpl w:val="F23C9072"/>
    <w:lvl w:ilvl="0">
      <w:start w:val="1"/>
      <w:numFmt w:val="decimal"/>
      <w:lvlRestart w:val="0"/>
      <w:lvlText w:val="%1."/>
      <w:lvlJc w:val="left"/>
      <w:pPr>
        <w:tabs>
          <w:tab w:val="num" w:pos="453"/>
        </w:tabs>
        <w:ind w:left="453" w:hanging="453"/>
      </w:pPr>
      <w:rPr>
        <w:rFonts w:ascii="Symbol" w:hAnsi="Symbol" w:hint="default"/>
      </w:rPr>
    </w:lvl>
    <w:lvl w:ilvl="1">
      <w:start w:val="1"/>
      <w:numFmt w:val="lowerLetter"/>
      <w:lvlText w:val="%2)"/>
      <w:lvlJc w:val="left"/>
      <w:pPr>
        <w:tabs>
          <w:tab w:val="num" w:pos="907"/>
        </w:tabs>
        <w:ind w:left="907" w:hanging="454"/>
      </w:pPr>
      <w:rPr>
        <w:rFonts w:ascii="Arial" w:hAnsi="Arial" w:cs="Arial"/>
      </w:rPr>
    </w:lvl>
    <w:lvl w:ilvl="2">
      <w:start w:val="1"/>
      <w:numFmt w:val="lowerRoman"/>
      <w:lvlText w:val="%3)"/>
      <w:lvlJc w:val="left"/>
      <w:pPr>
        <w:tabs>
          <w:tab w:val="num" w:pos="1360"/>
        </w:tabs>
        <w:ind w:left="1360" w:hanging="453"/>
      </w:pPr>
      <w:rPr>
        <w:rFonts w:ascii="Arial" w:hAnsi="Arial" w:cs="Arial"/>
      </w:rPr>
    </w:lvl>
    <w:lvl w:ilvl="3">
      <w:start w:val="1"/>
      <w:numFmt w:val="decimal"/>
      <w:lvlText w:val="%4"/>
      <w:lvlJc w:val="left"/>
      <w:pPr>
        <w:tabs>
          <w:tab w:val="num" w:pos="1814"/>
        </w:tabs>
        <w:ind w:left="1814" w:hanging="454"/>
      </w:pPr>
      <w:rPr>
        <w:rFonts w:ascii="Arial" w:hAnsi="Arial" w:cs="Arial"/>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28" w15:restartNumberingAfterBreak="0">
    <w:nsid w:val="473E660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02032F2"/>
    <w:multiLevelType w:val="multilevel"/>
    <w:tmpl w:val="9D4A89A0"/>
    <w:lvl w:ilvl="0">
      <w:start w:val="1"/>
      <w:numFmt w:val="decimal"/>
      <w:lvlRestart w:val="0"/>
      <w:lvlText w:val="%1."/>
      <w:lvlJc w:val="left"/>
      <w:pPr>
        <w:tabs>
          <w:tab w:val="num" w:pos="453"/>
        </w:tabs>
        <w:ind w:left="453" w:hanging="453"/>
      </w:pPr>
    </w:lvl>
    <w:lvl w:ilvl="1">
      <w:start w:val="1"/>
      <w:numFmt w:val="lowerLetter"/>
      <w:lvlText w:val="%2)"/>
      <w:lvlJc w:val="left"/>
      <w:pPr>
        <w:tabs>
          <w:tab w:val="num" w:pos="907"/>
        </w:tabs>
        <w:ind w:left="907" w:hanging="454"/>
      </w:pPr>
    </w:lvl>
    <w:lvl w:ilvl="2">
      <w:start w:val="1"/>
      <w:numFmt w:val="lowerRoman"/>
      <w:lvlText w:val="%3)"/>
      <w:lvlJc w:val="left"/>
      <w:pPr>
        <w:tabs>
          <w:tab w:val="num" w:pos="1360"/>
        </w:tabs>
        <w:ind w:left="1360" w:hanging="453"/>
      </w:pPr>
    </w:lvl>
    <w:lvl w:ilvl="3">
      <w:start w:val="1"/>
      <w:numFmt w:val="decimal"/>
      <w:lvlText w:val="%4"/>
      <w:lvlJc w:val="left"/>
      <w:pPr>
        <w:tabs>
          <w:tab w:val="num" w:pos="1814"/>
        </w:tabs>
        <w:ind w:left="1814" w:hanging="454"/>
      </w:p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30" w15:restartNumberingAfterBreak="0">
    <w:nsid w:val="55AA283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9125F53"/>
    <w:multiLevelType w:val="multilevel"/>
    <w:tmpl w:val="F23C9072"/>
    <w:numStyleLink w:val="CompanyList"/>
  </w:abstractNum>
  <w:abstractNum w:abstractNumId="32" w15:restartNumberingAfterBreak="0">
    <w:nsid w:val="5BD13D2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CF84EA5"/>
    <w:multiLevelType w:val="multilevel"/>
    <w:tmpl w:val="9A36ADB0"/>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Georgia" w:hAnsi="Georgia"/>
      </w:rPr>
    </w:lvl>
    <w:lvl w:ilvl="2">
      <w:start w:val="1"/>
      <w:numFmt w:val="lowerRoman"/>
      <w:lvlText w:val="-"/>
      <w:lvlJc w:val="left"/>
      <w:pPr>
        <w:tabs>
          <w:tab w:val="num" w:pos="1360"/>
        </w:tabs>
        <w:ind w:left="1360" w:hanging="453"/>
      </w:pPr>
      <w:rPr>
        <w:rFonts w:ascii="Georgia" w:hAnsi="Georgia"/>
      </w:rPr>
    </w:lvl>
    <w:lvl w:ilvl="3">
      <w:start w:val="1"/>
      <w:numFmt w:val="bullet"/>
      <w:lvlText w:val="-"/>
      <w:lvlJc w:val="left"/>
      <w:pPr>
        <w:tabs>
          <w:tab w:val="num" w:pos="1814"/>
        </w:tabs>
        <w:ind w:left="1814" w:hanging="454"/>
      </w:pPr>
      <w:rPr>
        <w:rFonts w:ascii="Georgia" w:hAnsi="Georgia"/>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34" w15:restartNumberingAfterBreak="0">
    <w:nsid w:val="65D8495C"/>
    <w:multiLevelType w:val="multilevel"/>
    <w:tmpl w:val="BF140784"/>
    <w:lvl w:ilvl="0">
      <w:start w:val="1"/>
      <w:numFmt w:val="bullet"/>
      <w:lvlRestart w:val="0"/>
      <w:lvlText w:val=""/>
      <w:lvlJc w:val="left"/>
      <w:pPr>
        <w:tabs>
          <w:tab w:val="num" w:pos="453"/>
        </w:tabs>
        <w:ind w:left="453" w:hanging="453"/>
      </w:pPr>
      <w:rPr>
        <w:rFonts w:ascii="Symbol" w:hAnsi="Symbol" w:cs="Arial" w:hint="default"/>
        <w:sz w:val="20"/>
      </w:rPr>
    </w:lvl>
    <w:lvl w:ilvl="1">
      <w:start w:val="1"/>
      <w:numFmt w:val="lowerLetter"/>
      <w:lvlText w:val="-"/>
      <w:lvlJc w:val="left"/>
      <w:pPr>
        <w:tabs>
          <w:tab w:val="num" w:pos="907"/>
        </w:tabs>
        <w:ind w:left="907" w:hanging="454"/>
      </w:pPr>
      <w:rPr>
        <w:rFonts w:ascii="Arial" w:hAnsi="Arial" w:cs="Arial"/>
        <w:sz w:val="20"/>
      </w:rPr>
    </w:lvl>
    <w:lvl w:ilvl="2">
      <w:start w:val="1"/>
      <w:numFmt w:val="lowerRoman"/>
      <w:lvlText w:val="-"/>
      <w:lvlJc w:val="left"/>
      <w:pPr>
        <w:tabs>
          <w:tab w:val="num" w:pos="1360"/>
        </w:tabs>
        <w:ind w:left="1360" w:hanging="453"/>
      </w:pPr>
      <w:rPr>
        <w:rFonts w:ascii="Arial" w:hAnsi="Arial" w:cs="Arial"/>
        <w:sz w:val="20"/>
      </w:rPr>
    </w:lvl>
    <w:lvl w:ilvl="3">
      <w:start w:val="1"/>
      <w:numFmt w:val="bullet"/>
      <w:lvlText w:val="-"/>
      <w:lvlJc w:val="left"/>
      <w:pPr>
        <w:tabs>
          <w:tab w:val="num" w:pos="1814"/>
        </w:tabs>
        <w:ind w:left="1814" w:hanging="454"/>
      </w:pPr>
      <w:rPr>
        <w:rFonts w:ascii="Arial" w:hAnsi="Arial" w:cs="Arial"/>
        <w:sz w:val="20"/>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35" w15:restartNumberingAfterBreak="0">
    <w:nsid w:val="6EF503B7"/>
    <w:multiLevelType w:val="multilevel"/>
    <w:tmpl w:val="7368F9FE"/>
    <w:lvl w:ilvl="0">
      <w:start w:val="1"/>
      <w:numFmt w:val="decimal"/>
      <w:lvlRestart w:val="0"/>
      <w:lvlText w:val="%1."/>
      <w:lvlJc w:val="left"/>
      <w:pPr>
        <w:tabs>
          <w:tab w:val="num" w:pos="453"/>
        </w:tabs>
        <w:ind w:left="453" w:hanging="453"/>
      </w:pPr>
      <w:rPr>
        <w:rFonts w:ascii="Georgia" w:hAnsi="Georgia" w:cs="Arial" w:hint="default"/>
        <w:sz w:val="20"/>
      </w:rPr>
    </w:lvl>
    <w:lvl w:ilvl="1">
      <w:start w:val="1"/>
      <w:numFmt w:val="lowerLetter"/>
      <w:lvlText w:val="%2)"/>
      <w:lvlJc w:val="left"/>
      <w:pPr>
        <w:tabs>
          <w:tab w:val="num" w:pos="907"/>
        </w:tabs>
        <w:ind w:left="907" w:hanging="454"/>
      </w:pPr>
      <w:rPr>
        <w:rFonts w:ascii="Arial" w:hAnsi="Arial" w:cs="Arial"/>
        <w:sz w:val="20"/>
      </w:rPr>
    </w:lvl>
    <w:lvl w:ilvl="2">
      <w:start w:val="1"/>
      <w:numFmt w:val="lowerRoman"/>
      <w:lvlText w:val="%3)"/>
      <w:lvlJc w:val="left"/>
      <w:pPr>
        <w:tabs>
          <w:tab w:val="num" w:pos="1360"/>
        </w:tabs>
        <w:ind w:left="1360" w:hanging="453"/>
      </w:pPr>
      <w:rPr>
        <w:rFonts w:ascii="Arial" w:hAnsi="Arial" w:cs="Arial"/>
        <w:sz w:val="20"/>
      </w:rPr>
    </w:lvl>
    <w:lvl w:ilvl="3">
      <w:start w:val="1"/>
      <w:numFmt w:val="decimal"/>
      <w:lvlText w:val="%4"/>
      <w:lvlJc w:val="left"/>
      <w:pPr>
        <w:tabs>
          <w:tab w:val="num" w:pos="1814"/>
        </w:tabs>
        <w:ind w:left="1814" w:hanging="454"/>
      </w:pPr>
      <w:rPr>
        <w:rFonts w:ascii="Arial" w:hAnsi="Arial" w:cs="Arial"/>
        <w:sz w:val="20"/>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36" w15:restartNumberingAfterBreak="0">
    <w:nsid w:val="70BD65A2"/>
    <w:multiLevelType w:val="multilevel"/>
    <w:tmpl w:val="71F8AB52"/>
    <w:lvl w:ilvl="0">
      <w:start w:val="1"/>
      <w:numFmt w:val="decimal"/>
      <w:lvlRestart w:val="0"/>
      <w:pStyle w:val="Heading1No"/>
      <w:lvlText w:val="%1)"/>
      <w:lvlJc w:val="left"/>
      <w:pPr>
        <w:tabs>
          <w:tab w:val="num" w:pos="454"/>
        </w:tabs>
        <w:ind w:left="454" w:hanging="454"/>
      </w:pPr>
    </w:lvl>
    <w:lvl w:ilvl="1">
      <w:start w:val="1"/>
      <w:numFmt w:val="decimal"/>
      <w:pStyle w:val="Heading2No"/>
      <w:lvlText w:val="%1.%2)"/>
      <w:lvlJc w:val="left"/>
      <w:pPr>
        <w:tabs>
          <w:tab w:val="num" w:pos="454"/>
        </w:tabs>
        <w:ind w:left="454" w:hanging="454"/>
      </w:pPr>
    </w:lvl>
    <w:lvl w:ilvl="2">
      <w:start w:val="1"/>
      <w:numFmt w:val="decimal"/>
      <w:pStyle w:val="Heading3No"/>
      <w:lvlText w:val="%1.%2.%3)"/>
      <w:lvlJc w:val="left"/>
      <w:pPr>
        <w:tabs>
          <w:tab w:val="num" w:pos="454"/>
        </w:tabs>
        <w:ind w:left="454" w:hanging="454"/>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7" w15:restartNumberingAfterBreak="0">
    <w:nsid w:val="76FE3AC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9C1259B"/>
    <w:multiLevelType w:val="multilevel"/>
    <w:tmpl w:val="F23C9072"/>
    <w:numStyleLink w:val="CompanyList"/>
  </w:abstractNum>
  <w:num w:numId="1" w16cid:durableId="547841442">
    <w:abstractNumId w:val="18"/>
  </w:num>
  <w:num w:numId="2" w16cid:durableId="803157549">
    <w:abstractNumId w:val="33"/>
  </w:num>
  <w:num w:numId="3" w16cid:durableId="744424453">
    <w:abstractNumId w:val="0"/>
  </w:num>
  <w:num w:numId="4" w16cid:durableId="536746695">
    <w:abstractNumId w:val="25"/>
  </w:num>
  <w:num w:numId="5" w16cid:durableId="311641395">
    <w:abstractNumId w:val="34"/>
  </w:num>
  <w:num w:numId="6" w16cid:durableId="1170557379">
    <w:abstractNumId w:val="25"/>
  </w:num>
  <w:num w:numId="7" w16cid:durableId="1469199613">
    <w:abstractNumId w:val="34"/>
  </w:num>
  <w:num w:numId="8" w16cid:durableId="1139803489">
    <w:abstractNumId w:val="3"/>
  </w:num>
  <w:num w:numId="9" w16cid:durableId="1506743820">
    <w:abstractNumId w:val="7"/>
  </w:num>
  <w:num w:numId="10" w16cid:durableId="1307509553">
    <w:abstractNumId w:val="24"/>
  </w:num>
  <w:num w:numId="11" w16cid:durableId="1789856670">
    <w:abstractNumId w:val="35"/>
  </w:num>
  <w:num w:numId="12" w16cid:durableId="1231623458">
    <w:abstractNumId w:val="11"/>
  </w:num>
  <w:num w:numId="13" w16cid:durableId="1864979741">
    <w:abstractNumId w:val="0"/>
  </w:num>
  <w:num w:numId="14" w16cid:durableId="1996179646">
    <w:abstractNumId w:val="25"/>
  </w:num>
  <w:num w:numId="15" w16cid:durableId="161051200">
    <w:abstractNumId w:val="33"/>
  </w:num>
  <w:num w:numId="16" w16cid:durableId="1261714747">
    <w:abstractNumId w:val="3"/>
  </w:num>
  <w:num w:numId="17" w16cid:durableId="582763829">
    <w:abstractNumId w:val="7"/>
  </w:num>
  <w:num w:numId="18" w16cid:durableId="1280381060">
    <w:abstractNumId w:val="14"/>
  </w:num>
  <w:num w:numId="19" w16cid:durableId="105202577">
    <w:abstractNumId w:val="16"/>
  </w:num>
  <w:num w:numId="20" w16cid:durableId="369652761">
    <w:abstractNumId w:val="23"/>
  </w:num>
  <w:num w:numId="21" w16cid:durableId="1862014401">
    <w:abstractNumId w:val="12"/>
  </w:num>
  <w:num w:numId="22" w16cid:durableId="828643064">
    <w:abstractNumId w:val="15"/>
  </w:num>
  <w:num w:numId="23" w16cid:durableId="78253243">
    <w:abstractNumId w:val="9"/>
  </w:num>
  <w:num w:numId="24" w16cid:durableId="1456562371">
    <w:abstractNumId w:val="1"/>
  </w:num>
  <w:num w:numId="25" w16cid:durableId="1047220001">
    <w:abstractNumId w:val="29"/>
  </w:num>
  <w:num w:numId="26" w16cid:durableId="618533347">
    <w:abstractNumId w:val="22"/>
  </w:num>
  <w:num w:numId="27" w16cid:durableId="267590476">
    <w:abstractNumId w:val="26"/>
  </w:num>
  <w:num w:numId="28" w16cid:durableId="249894120">
    <w:abstractNumId w:val="6"/>
  </w:num>
  <w:num w:numId="29" w16cid:durableId="1739474308">
    <w:abstractNumId w:val="36"/>
  </w:num>
  <w:num w:numId="30" w16cid:durableId="1546407804">
    <w:abstractNumId w:val="4"/>
    <w:lvlOverride w:ilvl="0">
      <w:lvl w:ilvl="0">
        <w:start w:val="1"/>
        <w:numFmt w:val="decimal"/>
        <w:lvlRestart w:val="0"/>
        <w:lvlText w:val="%1."/>
        <w:lvlJc w:val="left"/>
        <w:pPr>
          <w:tabs>
            <w:tab w:val="num" w:pos="453"/>
          </w:tabs>
          <w:ind w:left="453" w:hanging="453"/>
        </w:pPr>
        <w:rPr>
          <w:rFonts w:ascii="Arial" w:hAnsi="Arial" w:cs="Arial" w:hint="default"/>
        </w:rPr>
      </w:lvl>
    </w:lvlOverride>
  </w:num>
  <w:num w:numId="31" w16cid:durableId="1782072343">
    <w:abstractNumId w:val="2"/>
  </w:num>
  <w:num w:numId="32" w16cid:durableId="1780446248">
    <w:abstractNumId w:val="38"/>
  </w:num>
  <w:num w:numId="33" w16cid:durableId="2087847687">
    <w:abstractNumId w:val="31"/>
  </w:num>
  <w:num w:numId="34" w16cid:durableId="188810757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rLanguage" w:val="Swedish"/>
    <w:docVar w:name="DVarLogotypeFile" w:val="SBF"/>
    <w:docVar w:name="DVarLogotypeInserted" w:val="Yes"/>
    <w:docVar w:name="DVarPageNumberInserted" w:val="Yes"/>
  </w:docVars>
  <w:rsids>
    <w:rsidRoot w:val="0002054A"/>
    <w:rsid w:val="00002350"/>
    <w:rsid w:val="00004663"/>
    <w:rsid w:val="00006808"/>
    <w:rsid w:val="00006CAE"/>
    <w:rsid w:val="00013340"/>
    <w:rsid w:val="00015318"/>
    <w:rsid w:val="00017831"/>
    <w:rsid w:val="0002054A"/>
    <w:rsid w:val="00021CC3"/>
    <w:rsid w:val="00024843"/>
    <w:rsid w:val="00042344"/>
    <w:rsid w:val="00044796"/>
    <w:rsid w:val="00044A8A"/>
    <w:rsid w:val="000621CB"/>
    <w:rsid w:val="00062267"/>
    <w:rsid w:val="00062D55"/>
    <w:rsid w:val="0006340C"/>
    <w:rsid w:val="00064292"/>
    <w:rsid w:val="00065E16"/>
    <w:rsid w:val="00070672"/>
    <w:rsid w:val="00070D62"/>
    <w:rsid w:val="00074B9C"/>
    <w:rsid w:val="00074C57"/>
    <w:rsid w:val="00084C99"/>
    <w:rsid w:val="000A42BE"/>
    <w:rsid w:val="000A70E4"/>
    <w:rsid w:val="000B6875"/>
    <w:rsid w:val="000C03D2"/>
    <w:rsid w:val="000C0BB3"/>
    <w:rsid w:val="000C6115"/>
    <w:rsid w:val="000C6A6D"/>
    <w:rsid w:val="000D0EA6"/>
    <w:rsid w:val="000E0369"/>
    <w:rsid w:val="000E157B"/>
    <w:rsid w:val="000E280A"/>
    <w:rsid w:val="000E5FFC"/>
    <w:rsid w:val="0010275E"/>
    <w:rsid w:val="0011150A"/>
    <w:rsid w:val="00112ABB"/>
    <w:rsid w:val="00121043"/>
    <w:rsid w:val="00124B7E"/>
    <w:rsid w:val="0013381B"/>
    <w:rsid w:val="00141850"/>
    <w:rsid w:val="00144B2A"/>
    <w:rsid w:val="00145E4F"/>
    <w:rsid w:val="00146613"/>
    <w:rsid w:val="00152F1B"/>
    <w:rsid w:val="00156724"/>
    <w:rsid w:val="001568E3"/>
    <w:rsid w:val="00160699"/>
    <w:rsid w:val="00190F08"/>
    <w:rsid w:val="00192943"/>
    <w:rsid w:val="00195457"/>
    <w:rsid w:val="001A480F"/>
    <w:rsid w:val="001B7B69"/>
    <w:rsid w:val="001C3CB1"/>
    <w:rsid w:val="001C3F2F"/>
    <w:rsid w:val="001C5509"/>
    <w:rsid w:val="001F78D9"/>
    <w:rsid w:val="00202A3A"/>
    <w:rsid w:val="0021251A"/>
    <w:rsid w:val="002211C6"/>
    <w:rsid w:val="00222C32"/>
    <w:rsid w:val="002249D9"/>
    <w:rsid w:val="002375F4"/>
    <w:rsid w:val="00240078"/>
    <w:rsid w:val="00241E7A"/>
    <w:rsid w:val="00242750"/>
    <w:rsid w:val="00246365"/>
    <w:rsid w:val="002467E9"/>
    <w:rsid w:val="00246B50"/>
    <w:rsid w:val="00250C7D"/>
    <w:rsid w:val="002538ED"/>
    <w:rsid w:val="002572CF"/>
    <w:rsid w:val="002672C7"/>
    <w:rsid w:val="00274538"/>
    <w:rsid w:val="002843A6"/>
    <w:rsid w:val="0028473C"/>
    <w:rsid w:val="00284C34"/>
    <w:rsid w:val="00294807"/>
    <w:rsid w:val="00294B05"/>
    <w:rsid w:val="002A09A7"/>
    <w:rsid w:val="002A754F"/>
    <w:rsid w:val="002C726F"/>
    <w:rsid w:val="002D025C"/>
    <w:rsid w:val="002D3BB0"/>
    <w:rsid w:val="002D7ED2"/>
    <w:rsid w:val="002E5A93"/>
    <w:rsid w:val="002F008B"/>
    <w:rsid w:val="00303B5C"/>
    <w:rsid w:val="00305F56"/>
    <w:rsid w:val="003061DB"/>
    <w:rsid w:val="003140AF"/>
    <w:rsid w:val="003146F8"/>
    <w:rsid w:val="0033512D"/>
    <w:rsid w:val="00336388"/>
    <w:rsid w:val="00343115"/>
    <w:rsid w:val="0035032E"/>
    <w:rsid w:val="0035271F"/>
    <w:rsid w:val="003537FA"/>
    <w:rsid w:val="00354D0B"/>
    <w:rsid w:val="00363828"/>
    <w:rsid w:val="00371F21"/>
    <w:rsid w:val="00381A80"/>
    <w:rsid w:val="0038209D"/>
    <w:rsid w:val="003866CF"/>
    <w:rsid w:val="00387A92"/>
    <w:rsid w:val="003A20C6"/>
    <w:rsid w:val="003A2F07"/>
    <w:rsid w:val="003A4D4B"/>
    <w:rsid w:val="003A6908"/>
    <w:rsid w:val="003B2FE2"/>
    <w:rsid w:val="003B31C5"/>
    <w:rsid w:val="003B38B7"/>
    <w:rsid w:val="003B651F"/>
    <w:rsid w:val="003B7FAF"/>
    <w:rsid w:val="003D1FA6"/>
    <w:rsid w:val="003D5710"/>
    <w:rsid w:val="003D7D8A"/>
    <w:rsid w:val="003E365C"/>
    <w:rsid w:val="003E6176"/>
    <w:rsid w:val="003E7A7C"/>
    <w:rsid w:val="003F5663"/>
    <w:rsid w:val="00400B49"/>
    <w:rsid w:val="0040165C"/>
    <w:rsid w:val="00406B47"/>
    <w:rsid w:val="00407425"/>
    <w:rsid w:val="00407481"/>
    <w:rsid w:val="00423F47"/>
    <w:rsid w:val="00432F91"/>
    <w:rsid w:val="0045394C"/>
    <w:rsid w:val="00454243"/>
    <w:rsid w:val="00456A10"/>
    <w:rsid w:val="00460133"/>
    <w:rsid w:val="00461383"/>
    <w:rsid w:val="00462ADB"/>
    <w:rsid w:val="004701A8"/>
    <w:rsid w:val="004939F4"/>
    <w:rsid w:val="004A1B7E"/>
    <w:rsid w:val="004A7CF0"/>
    <w:rsid w:val="004B1947"/>
    <w:rsid w:val="004B341D"/>
    <w:rsid w:val="004B7006"/>
    <w:rsid w:val="004C1E06"/>
    <w:rsid w:val="004C4FB2"/>
    <w:rsid w:val="004C5021"/>
    <w:rsid w:val="004C7C88"/>
    <w:rsid w:val="004D67AA"/>
    <w:rsid w:val="004D7177"/>
    <w:rsid w:val="004E3777"/>
    <w:rsid w:val="004E658A"/>
    <w:rsid w:val="004F5C67"/>
    <w:rsid w:val="004F77A5"/>
    <w:rsid w:val="00503511"/>
    <w:rsid w:val="00504518"/>
    <w:rsid w:val="00506BD0"/>
    <w:rsid w:val="00507476"/>
    <w:rsid w:val="00512607"/>
    <w:rsid w:val="005129C4"/>
    <w:rsid w:val="00517B16"/>
    <w:rsid w:val="005242A4"/>
    <w:rsid w:val="005270B7"/>
    <w:rsid w:val="00533A61"/>
    <w:rsid w:val="005368B1"/>
    <w:rsid w:val="00541BFF"/>
    <w:rsid w:val="005463F2"/>
    <w:rsid w:val="00563FE8"/>
    <w:rsid w:val="00565F88"/>
    <w:rsid w:val="00566EDE"/>
    <w:rsid w:val="00573B78"/>
    <w:rsid w:val="005849C9"/>
    <w:rsid w:val="005931C7"/>
    <w:rsid w:val="005A3BFC"/>
    <w:rsid w:val="005A7A62"/>
    <w:rsid w:val="005B536B"/>
    <w:rsid w:val="005B5B60"/>
    <w:rsid w:val="005D09A1"/>
    <w:rsid w:val="005D0B23"/>
    <w:rsid w:val="005D5BC0"/>
    <w:rsid w:val="005D6283"/>
    <w:rsid w:val="005E4C39"/>
    <w:rsid w:val="005F1EDD"/>
    <w:rsid w:val="005F306C"/>
    <w:rsid w:val="005F4F72"/>
    <w:rsid w:val="006020B2"/>
    <w:rsid w:val="00602F7E"/>
    <w:rsid w:val="0060351E"/>
    <w:rsid w:val="00603763"/>
    <w:rsid w:val="006043AC"/>
    <w:rsid w:val="00605B36"/>
    <w:rsid w:val="00605B95"/>
    <w:rsid w:val="006171E1"/>
    <w:rsid w:val="00617D2E"/>
    <w:rsid w:val="00620345"/>
    <w:rsid w:val="006257D3"/>
    <w:rsid w:val="00643FF1"/>
    <w:rsid w:val="0064669E"/>
    <w:rsid w:val="00660CE5"/>
    <w:rsid w:val="006626AE"/>
    <w:rsid w:val="00671394"/>
    <w:rsid w:val="006764DC"/>
    <w:rsid w:val="006768BA"/>
    <w:rsid w:val="006778F5"/>
    <w:rsid w:val="006815AC"/>
    <w:rsid w:val="00686342"/>
    <w:rsid w:val="00696783"/>
    <w:rsid w:val="00696C2D"/>
    <w:rsid w:val="006A04F2"/>
    <w:rsid w:val="006A2ECB"/>
    <w:rsid w:val="006A4C1E"/>
    <w:rsid w:val="006A632E"/>
    <w:rsid w:val="006A74A6"/>
    <w:rsid w:val="006A7A68"/>
    <w:rsid w:val="006B23ED"/>
    <w:rsid w:val="006B28F7"/>
    <w:rsid w:val="006B5B45"/>
    <w:rsid w:val="006B6114"/>
    <w:rsid w:val="006B7672"/>
    <w:rsid w:val="006D225F"/>
    <w:rsid w:val="006D2A5F"/>
    <w:rsid w:val="006D78D7"/>
    <w:rsid w:val="006E1185"/>
    <w:rsid w:val="006E3ACC"/>
    <w:rsid w:val="006F00EF"/>
    <w:rsid w:val="006F5D25"/>
    <w:rsid w:val="007041DB"/>
    <w:rsid w:val="007047F7"/>
    <w:rsid w:val="00710478"/>
    <w:rsid w:val="00737D1A"/>
    <w:rsid w:val="007412FC"/>
    <w:rsid w:val="00743049"/>
    <w:rsid w:val="00750870"/>
    <w:rsid w:val="00755566"/>
    <w:rsid w:val="00760E22"/>
    <w:rsid w:val="00761622"/>
    <w:rsid w:val="00761DAA"/>
    <w:rsid w:val="00763A9F"/>
    <w:rsid w:val="007725AF"/>
    <w:rsid w:val="0078210B"/>
    <w:rsid w:val="007A0BA9"/>
    <w:rsid w:val="007A37E8"/>
    <w:rsid w:val="007A4B52"/>
    <w:rsid w:val="007A5882"/>
    <w:rsid w:val="007A6C0E"/>
    <w:rsid w:val="007B09C9"/>
    <w:rsid w:val="007B320D"/>
    <w:rsid w:val="007B61E7"/>
    <w:rsid w:val="007C5447"/>
    <w:rsid w:val="007D27AD"/>
    <w:rsid w:val="007D3820"/>
    <w:rsid w:val="007E1A90"/>
    <w:rsid w:val="007E454D"/>
    <w:rsid w:val="007F5540"/>
    <w:rsid w:val="00804CF4"/>
    <w:rsid w:val="00804FFC"/>
    <w:rsid w:val="00806486"/>
    <w:rsid w:val="00806BCE"/>
    <w:rsid w:val="00814CF4"/>
    <w:rsid w:val="00825BF0"/>
    <w:rsid w:val="00830DD7"/>
    <w:rsid w:val="00831F09"/>
    <w:rsid w:val="008431A0"/>
    <w:rsid w:val="008462B1"/>
    <w:rsid w:val="008501C5"/>
    <w:rsid w:val="00863279"/>
    <w:rsid w:val="008656B3"/>
    <w:rsid w:val="008719A3"/>
    <w:rsid w:val="00880456"/>
    <w:rsid w:val="00880952"/>
    <w:rsid w:val="00885257"/>
    <w:rsid w:val="00895E3B"/>
    <w:rsid w:val="008973F0"/>
    <w:rsid w:val="008A2137"/>
    <w:rsid w:val="008B080E"/>
    <w:rsid w:val="008C3991"/>
    <w:rsid w:val="008C4532"/>
    <w:rsid w:val="008C743A"/>
    <w:rsid w:val="008E28EA"/>
    <w:rsid w:val="008E3CF5"/>
    <w:rsid w:val="008E41D1"/>
    <w:rsid w:val="008E4E25"/>
    <w:rsid w:val="008F2BBB"/>
    <w:rsid w:val="008F3D35"/>
    <w:rsid w:val="008F7DAD"/>
    <w:rsid w:val="0090196D"/>
    <w:rsid w:val="00904AAE"/>
    <w:rsid w:val="00905980"/>
    <w:rsid w:val="009059FC"/>
    <w:rsid w:val="00906FF2"/>
    <w:rsid w:val="0091394B"/>
    <w:rsid w:val="00917C06"/>
    <w:rsid w:val="00930FB1"/>
    <w:rsid w:val="0093729F"/>
    <w:rsid w:val="0094074A"/>
    <w:rsid w:val="00944FDB"/>
    <w:rsid w:val="00956612"/>
    <w:rsid w:val="00957FC0"/>
    <w:rsid w:val="009623D1"/>
    <w:rsid w:val="00970085"/>
    <w:rsid w:val="009771BF"/>
    <w:rsid w:val="00986493"/>
    <w:rsid w:val="00991707"/>
    <w:rsid w:val="009919EE"/>
    <w:rsid w:val="00992494"/>
    <w:rsid w:val="00993736"/>
    <w:rsid w:val="0099402B"/>
    <w:rsid w:val="00997595"/>
    <w:rsid w:val="009A08EF"/>
    <w:rsid w:val="009A17C4"/>
    <w:rsid w:val="009A3FFE"/>
    <w:rsid w:val="009A59AC"/>
    <w:rsid w:val="009B0444"/>
    <w:rsid w:val="009B33EC"/>
    <w:rsid w:val="009B4CF9"/>
    <w:rsid w:val="009B7DC3"/>
    <w:rsid w:val="009C51B2"/>
    <w:rsid w:val="009C5243"/>
    <w:rsid w:val="009E1D49"/>
    <w:rsid w:val="009E31C7"/>
    <w:rsid w:val="009E37F5"/>
    <w:rsid w:val="009E3B00"/>
    <w:rsid w:val="009F665E"/>
    <w:rsid w:val="009F71EA"/>
    <w:rsid w:val="00A0259D"/>
    <w:rsid w:val="00A02F02"/>
    <w:rsid w:val="00A15A87"/>
    <w:rsid w:val="00A173E9"/>
    <w:rsid w:val="00A214A0"/>
    <w:rsid w:val="00A218F9"/>
    <w:rsid w:val="00A21B61"/>
    <w:rsid w:val="00A231C8"/>
    <w:rsid w:val="00A30690"/>
    <w:rsid w:val="00A35DA8"/>
    <w:rsid w:val="00A36180"/>
    <w:rsid w:val="00A452BD"/>
    <w:rsid w:val="00A508F4"/>
    <w:rsid w:val="00A515B5"/>
    <w:rsid w:val="00A63054"/>
    <w:rsid w:val="00A6393A"/>
    <w:rsid w:val="00A6758C"/>
    <w:rsid w:val="00A704DF"/>
    <w:rsid w:val="00A72D25"/>
    <w:rsid w:val="00A738D1"/>
    <w:rsid w:val="00A74077"/>
    <w:rsid w:val="00A75A57"/>
    <w:rsid w:val="00A86547"/>
    <w:rsid w:val="00A91730"/>
    <w:rsid w:val="00A97CBA"/>
    <w:rsid w:val="00AA3BBE"/>
    <w:rsid w:val="00AA7914"/>
    <w:rsid w:val="00AB3330"/>
    <w:rsid w:val="00AC17BD"/>
    <w:rsid w:val="00AC75F6"/>
    <w:rsid w:val="00AE793E"/>
    <w:rsid w:val="00B00CAC"/>
    <w:rsid w:val="00B02200"/>
    <w:rsid w:val="00B03A09"/>
    <w:rsid w:val="00B075D3"/>
    <w:rsid w:val="00B10C53"/>
    <w:rsid w:val="00B14EF2"/>
    <w:rsid w:val="00B2386F"/>
    <w:rsid w:val="00B30269"/>
    <w:rsid w:val="00B439E8"/>
    <w:rsid w:val="00B446BA"/>
    <w:rsid w:val="00B46967"/>
    <w:rsid w:val="00B66A49"/>
    <w:rsid w:val="00B70ABF"/>
    <w:rsid w:val="00B7712E"/>
    <w:rsid w:val="00B77B5A"/>
    <w:rsid w:val="00B80229"/>
    <w:rsid w:val="00B84FF7"/>
    <w:rsid w:val="00B91657"/>
    <w:rsid w:val="00B92EB8"/>
    <w:rsid w:val="00BA6FDD"/>
    <w:rsid w:val="00BB3E84"/>
    <w:rsid w:val="00BB713F"/>
    <w:rsid w:val="00BC1FB2"/>
    <w:rsid w:val="00BC293C"/>
    <w:rsid w:val="00BC5163"/>
    <w:rsid w:val="00BD42FD"/>
    <w:rsid w:val="00BE3D28"/>
    <w:rsid w:val="00BF458B"/>
    <w:rsid w:val="00BF4841"/>
    <w:rsid w:val="00C060B3"/>
    <w:rsid w:val="00C1085A"/>
    <w:rsid w:val="00C1428A"/>
    <w:rsid w:val="00C14686"/>
    <w:rsid w:val="00C15141"/>
    <w:rsid w:val="00C1527A"/>
    <w:rsid w:val="00C156E6"/>
    <w:rsid w:val="00C15B1B"/>
    <w:rsid w:val="00C162AE"/>
    <w:rsid w:val="00C164CD"/>
    <w:rsid w:val="00C20AA6"/>
    <w:rsid w:val="00C31514"/>
    <w:rsid w:val="00C32CC9"/>
    <w:rsid w:val="00C32DB5"/>
    <w:rsid w:val="00C36CF4"/>
    <w:rsid w:val="00C3740C"/>
    <w:rsid w:val="00C423F5"/>
    <w:rsid w:val="00C45DCF"/>
    <w:rsid w:val="00C4624A"/>
    <w:rsid w:val="00C50493"/>
    <w:rsid w:val="00C5124E"/>
    <w:rsid w:val="00C520C9"/>
    <w:rsid w:val="00C6314D"/>
    <w:rsid w:val="00C636CB"/>
    <w:rsid w:val="00C6423B"/>
    <w:rsid w:val="00C65254"/>
    <w:rsid w:val="00C713A8"/>
    <w:rsid w:val="00C7624A"/>
    <w:rsid w:val="00C80F6A"/>
    <w:rsid w:val="00C824FC"/>
    <w:rsid w:val="00C908FE"/>
    <w:rsid w:val="00C95A0A"/>
    <w:rsid w:val="00CA1572"/>
    <w:rsid w:val="00CA1960"/>
    <w:rsid w:val="00CA7DF4"/>
    <w:rsid w:val="00CB3DEB"/>
    <w:rsid w:val="00CB51AA"/>
    <w:rsid w:val="00CD2B22"/>
    <w:rsid w:val="00CE183C"/>
    <w:rsid w:val="00CF0D9E"/>
    <w:rsid w:val="00CF3A21"/>
    <w:rsid w:val="00D04283"/>
    <w:rsid w:val="00D14666"/>
    <w:rsid w:val="00D15E45"/>
    <w:rsid w:val="00D2007B"/>
    <w:rsid w:val="00D216D2"/>
    <w:rsid w:val="00D24C7B"/>
    <w:rsid w:val="00D25D5F"/>
    <w:rsid w:val="00D47D61"/>
    <w:rsid w:val="00D52D5C"/>
    <w:rsid w:val="00D55827"/>
    <w:rsid w:val="00D56EAF"/>
    <w:rsid w:val="00D60F02"/>
    <w:rsid w:val="00D6287A"/>
    <w:rsid w:val="00D62A69"/>
    <w:rsid w:val="00D65641"/>
    <w:rsid w:val="00D67D25"/>
    <w:rsid w:val="00D700F6"/>
    <w:rsid w:val="00D70E3A"/>
    <w:rsid w:val="00D7300A"/>
    <w:rsid w:val="00D74733"/>
    <w:rsid w:val="00D74AF9"/>
    <w:rsid w:val="00D77263"/>
    <w:rsid w:val="00D80AC7"/>
    <w:rsid w:val="00D857A7"/>
    <w:rsid w:val="00D86596"/>
    <w:rsid w:val="00D92B07"/>
    <w:rsid w:val="00D93BA5"/>
    <w:rsid w:val="00D958DF"/>
    <w:rsid w:val="00D96FAF"/>
    <w:rsid w:val="00DB0F87"/>
    <w:rsid w:val="00DB5AEE"/>
    <w:rsid w:val="00DB60A0"/>
    <w:rsid w:val="00DC204B"/>
    <w:rsid w:val="00DC6205"/>
    <w:rsid w:val="00DD5FC5"/>
    <w:rsid w:val="00DE24F5"/>
    <w:rsid w:val="00DE29CA"/>
    <w:rsid w:val="00DF0FEC"/>
    <w:rsid w:val="00DF1DC1"/>
    <w:rsid w:val="00DF7725"/>
    <w:rsid w:val="00E00610"/>
    <w:rsid w:val="00E00C59"/>
    <w:rsid w:val="00E154F7"/>
    <w:rsid w:val="00E161AC"/>
    <w:rsid w:val="00E164ED"/>
    <w:rsid w:val="00E17ABF"/>
    <w:rsid w:val="00E204BE"/>
    <w:rsid w:val="00E20830"/>
    <w:rsid w:val="00E2131E"/>
    <w:rsid w:val="00E2361A"/>
    <w:rsid w:val="00E2603E"/>
    <w:rsid w:val="00E36DDE"/>
    <w:rsid w:val="00E4087A"/>
    <w:rsid w:val="00E56F31"/>
    <w:rsid w:val="00E6048C"/>
    <w:rsid w:val="00E63FD5"/>
    <w:rsid w:val="00E64A60"/>
    <w:rsid w:val="00E65239"/>
    <w:rsid w:val="00E72CAE"/>
    <w:rsid w:val="00E73B82"/>
    <w:rsid w:val="00E74905"/>
    <w:rsid w:val="00E8026E"/>
    <w:rsid w:val="00E932E1"/>
    <w:rsid w:val="00E9387C"/>
    <w:rsid w:val="00E975AD"/>
    <w:rsid w:val="00EA3FB6"/>
    <w:rsid w:val="00EA5D5E"/>
    <w:rsid w:val="00EA7D57"/>
    <w:rsid w:val="00ED1675"/>
    <w:rsid w:val="00ED293C"/>
    <w:rsid w:val="00ED3871"/>
    <w:rsid w:val="00ED3A0C"/>
    <w:rsid w:val="00EE21D1"/>
    <w:rsid w:val="00EE7206"/>
    <w:rsid w:val="00EF5FF1"/>
    <w:rsid w:val="00F0291B"/>
    <w:rsid w:val="00F04FB5"/>
    <w:rsid w:val="00F064DC"/>
    <w:rsid w:val="00F07AF0"/>
    <w:rsid w:val="00F13980"/>
    <w:rsid w:val="00F1724A"/>
    <w:rsid w:val="00F17451"/>
    <w:rsid w:val="00F20B7C"/>
    <w:rsid w:val="00F2426B"/>
    <w:rsid w:val="00F26739"/>
    <w:rsid w:val="00F26D2A"/>
    <w:rsid w:val="00F35C48"/>
    <w:rsid w:val="00F60E66"/>
    <w:rsid w:val="00F634FC"/>
    <w:rsid w:val="00F66129"/>
    <w:rsid w:val="00F67667"/>
    <w:rsid w:val="00F751CE"/>
    <w:rsid w:val="00F9010B"/>
    <w:rsid w:val="00F96B59"/>
    <w:rsid w:val="00FB0E52"/>
    <w:rsid w:val="00FB1A9C"/>
    <w:rsid w:val="00FB5124"/>
    <w:rsid w:val="00FB56B8"/>
    <w:rsid w:val="00FB5EC5"/>
    <w:rsid w:val="00FB7F90"/>
    <w:rsid w:val="00FD184D"/>
    <w:rsid w:val="00FD42D4"/>
    <w:rsid w:val="00FE1B3A"/>
    <w:rsid w:val="00FE5508"/>
    <w:rsid w:val="00FF2589"/>
    <w:rsid w:val="00FF313B"/>
    <w:rsid w:val="00FF6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66DBA1"/>
  <w15:docId w15:val="{B13071F2-7BC0-4103-95DE-92FD4088D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6493"/>
    <w:pPr>
      <w:spacing w:line="276" w:lineRule="auto"/>
    </w:pPr>
    <w:rPr>
      <w:rFonts w:ascii="Arial" w:hAnsi="Arial" w:cs="Arial"/>
      <w:color w:val="000000"/>
      <w:sz w:val="22"/>
      <w:szCs w:val="24"/>
      <w:lang w:val="sv-SE" w:eastAsia="sv-SE"/>
    </w:rPr>
  </w:style>
  <w:style w:type="paragraph" w:styleId="Rubrik1">
    <w:name w:val="heading 1"/>
    <w:basedOn w:val="Normal"/>
    <w:next w:val="Normal"/>
    <w:link w:val="Rubrik1Char"/>
    <w:qFormat/>
    <w:rsid w:val="00986493"/>
    <w:pPr>
      <w:keepNext/>
      <w:spacing w:before="360" w:after="60"/>
      <w:outlineLvl w:val="0"/>
    </w:pPr>
    <w:rPr>
      <w:rFonts w:eastAsiaTheme="majorEastAsia"/>
      <w:b/>
      <w:bCs/>
      <w:sz w:val="24"/>
      <w:szCs w:val="28"/>
    </w:rPr>
  </w:style>
  <w:style w:type="paragraph" w:styleId="Rubrik2">
    <w:name w:val="heading 2"/>
    <w:basedOn w:val="Normal"/>
    <w:next w:val="Normal"/>
    <w:link w:val="Rubrik2Char"/>
    <w:unhideWhenUsed/>
    <w:qFormat/>
    <w:rsid w:val="00986493"/>
    <w:pPr>
      <w:keepNext/>
      <w:spacing w:before="360" w:after="60"/>
      <w:outlineLvl w:val="1"/>
    </w:pPr>
    <w:rPr>
      <w:rFonts w:eastAsiaTheme="majorEastAsia"/>
      <w:b/>
      <w:bCs/>
      <w:szCs w:val="26"/>
    </w:rPr>
  </w:style>
  <w:style w:type="paragraph" w:styleId="Rubrik3">
    <w:name w:val="heading 3"/>
    <w:basedOn w:val="Normal"/>
    <w:next w:val="Normal"/>
    <w:link w:val="Rubrik3Char"/>
    <w:unhideWhenUsed/>
    <w:qFormat/>
    <w:rsid w:val="00986493"/>
    <w:pPr>
      <w:keepNext/>
      <w:spacing w:before="360" w:after="60"/>
      <w:outlineLvl w:val="2"/>
    </w:pPr>
    <w:rPr>
      <w:rFonts w:eastAsiaTheme="majorEastAsia"/>
      <w:bCs/>
      <w:i/>
    </w:rPr>
  </w:style>
  <w:style w:type="paragraph" w:styleId="Rubrik4">
    <w:name w:val="heading 4"/>
    <w:basedOn w:val="Normal"/>
    <w:next w:val="Normal"/>
    <w:link w:val="Rubrik4Char"/>
    <w:semiHidden/>
    <w:unhideWhenUsed/>
    <w:qFormat/>
    <w:rsid w:val="00C7624A"/>
    <w:pPr>
      <w:keepNext/>
      <w:keepLines/>
      <w:numPr>
        <w:ilvl w:val="3"/>
        <w:numId w:val="29"/>
      </w:numPr>
      <w:spacing w:before="200"/>
      <w:outlineLvl w:val="3"/>
    </w:pPr>
    <w:rPr>
      <w:rFonts w:asciiTheme="majorHAnsi" w:eastAsiaTheme="majorEastAsia" w:hAnsiTheme="majorHAnsi" w:cstheme="majorBidi"/>
      <w:b/>
      <w:bCs/>
      <w:i/>
      <w:iCs/>
      <w:color w:val="0063AC" w:themeColor="accent1"/>
    </w:rPr>
  </w:style>
  <w:style w:type="paragraph" w:styleId="Rubrik5">
    <w:name w:val="heading 5"/>
    <w:basedOn w:val="Normal"/>
    <w:next w:val="Normal"/>
    <w:link w:val="Rubrik5Char"/>
    <w:semiHidden/>
    <w:unhideWhenUsed/>
    <w:qFormat/>
    <w:rsid w:val="00C7624A"/>
    <w:pPr>
      <w:keepNext/>
      <w:keepLines/>
      <w:numPr>
        <w:ilvl w:val="4"/>
        <w:numId w:val="29"/>
      </w:numPr>
      <w:spacing w:before="200"/>
      <w:outlineLvl w:val="4"/>
    </w:pPr>
    <w:rPr>
      <w:rFonts w:asciiTheme="majorHAnsi" w:eastAsiaTheme="majorEastAsia" w:hAnsiTheme="majorHAnsi" w:cstheme="majorBidi"/>
      <w:color w:val="003055" w:themeColor="accent1" w:themeShade="7F"/>
    </w:rPr>
  </w:style>
  <w:style w:type="paragraph" w:styleId="Rubrik6">
    <w:name w:val="heading 6"/>
    <w:basedOn w:val="Normal"/>
    <w:next w:val="Normal"/>
    <w:link w:val="Rubrik6Char"/>
    <w:semiHidden/>
    <w:unhideWhenUsed/>
    <w:qFormat/>
    <w:rsid w:val="00C7624A"/>
    <w:pPr>
      <w:keepNext/>
      <w:keepLines/>
      <w:numPr>
        <w:ilvl w:val="5"/>
        <w:numId w:val="29"/>
      </w:numPr>
      <w:spacing w:before="200"/>
      <w:outlineLvl w:val="5"/>
    </w:pPr>
    <w:rPr>
      <w:rFonts w:asciiTheme="majorHAnsi" w:eastAsiaTheme="majorEastAsia" w:hAnsiTheme="majorHAnsi" w:cstheme="majorBidi"/>
      <w:i/>
      <w:iCs/>
      <w:color w:val="003055" w:themeColor="accent1" w:themeShade="7F"/>
    </w:rPr>
  </w:style>
  <w:style w:type="paragraph" w:styleId="Rubrik7">
    <w:name w:val="heading 7"/>
    <w:basedOn w:val="Normal"/>
    <w:next w:val="Normal"/>
    <w:link w:val="Rubrik7Char"/>
    <w:semiHidden/>
    <w:unhideWhenUsed/>
    <w:qFormat/>
    <w:rsid w:val="00C7624A"/>
    <w:pPr>
      <w:keepNext/>
      <w:keepLines/>
      <w:numPr>
        <w:ilvl w:val="6"/>
        <w:numId w:val="29"/>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unhideWhenUsed/>
    <w:qFormat/>
    <w:rsid w:val="00C7624A"/>
    <w:pPr>
      <w:keepNext/>
      <w:keepLines/>
      <w:numPr>
        <w:ilvl w:val="7"/>
        <w:numId w:val="29"/>
      </w:numPr>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semiHidden/>
    <w:unhideWhenUsed/>
    <w:qFormat/>
    <w:rsid w:val="00C7624A"/>
    <w:pPr>
      <w:keepNext/>
      <w:keepLines/>
      <w:numPr>
        <w:ilvl w:val="8"/>
        <w:numId w:val="2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986493"/>
    <w:rPr>
      <w:rFonts w:ascii="Arial" w:eastAsiaTheme="majorEastAsia" w:hAnsi="Arial" w:cs="Arial"/>
      <w:b/>
      <w:bCs/>
      <w:noProof w:val="0"/>
      <w:color w:val="000000"/>
      <w:sz w:val="24"/>
      <w:szCs w:val="28"/>
      <w:lang w:val="sv-SE" w:eastAsia="sv-SE"/>
    </w:rPr>
  </w:style>
  <w:style w:type="character" w:customStyle="1" w:styleId="Rubrik2Char">
    <w:name w:val="Rubrik 2 Char"/>
    <w:basedOn w:val="Standardstycketeckensnitt"/>
    <w:link w:val="Rubrik2"/>
    <w:rsid w:val="00986493"/>
    <w:rPr>
      <w:rFonts w:ascii="Arial" w:eastAsiaTheme="majorEastAsia" w:hAnsi="Arial" w:cs="Arial"/>
      <w:b/>
      <w:bCs/>
      <w:noProof w:val="0"/>
      <w:color w:val="000000"/>
      <w:sz w:val="22"/>
      <w:szCs w:val="26"/>
      <w:lang w:val="sv-SE" w:eastAsia="sv-SE"/>
    </w:rPr>
  </w:style>
  <w:style w:type="character" w:customStyle="1" w:styleId="Rubrik3Char">
    <w:name w:val="Rubrik 3 Char"/>
    <w:basedOn w:val="Standardstycketeckensnitt"/>
    <w:link w:val="Rubrik3"/>
    <w:rsid w:val="00986493"/>
    <w:rPr>
      <w:rFonts w:ascii="Arial" w:eastAsiaTheme="majorEastAsia" w:hAnsi="Arial" w:cs="Arial"/>
      <w:bCs/>
      <w:i/>
      <w:noProof w:val="0"/>
      <w:color w:val="000000"/>
      <w:sz w:val="22"/>
      <w:szCs w:val="24"/>
      <w:lang w:val="sv-SE" w:eastAsia="sv-SE"/>
    </w:rPr>
  </w:style>
  <w:style w:type="numbering" w:customStyle="1" w:styleId="CompanyList">
    <w:name w:val="Company_List"/>
    <w:basedOn w:val="Ingenlista"/>
    <w:rsid w:val="002C726F"/>
    <w:pPr>
      <w:numPr>
        <w:numId w:val="26"/>
      </w:numPr>
    </w:pPr>
  </w:style>
  <w:style w:type="numbering" w:customStyle="1" w:styleId="CompanyListBullet">
    <w:name w:val="Company_ListBullet"/>
    <w:basedOn w:val="Ingenlista"/>
    <w:rsid w:val="002C726F"/>
    <w:pPr>
      <w:numPr>
        <w:numId w:val="27"/>
      </w:numPr>
    </w:pPr>
  </w:style>
  <w:style w:type="paragraph" w:styleId="Punktlista">
    <w:name w:val="List Bullet"/>
    <w:basedOn w:val="Normal"/>
    <w:rsid w:val="00986493"/>
    <w:pPr>
      <w:numPr>
        <w:numId w:val="13"/>
      </w:numPr>
      <w:contextualSpacing/>
    </w:pPr>
  </w:style>
  <w:style w:type="paragraph" w:styleId="Sidhuvud">
    <w:name w:val="header"/>
    <w:basedOn w:val="Normal"/>
    <w:link w:val="SidhuvudChar"/>
    <w:rsid w:val="00986493"/>
    <w:pPr>
      <w:tabs>
        <w:tab w:val="center" w:pos="4680"/>
        <w:tab w:val="right" w:pos="9360"/>
      </w:tabs>
    </w:pPr>
    <w:rPr>
      <w:sz w:val="18"/>
    </w:rPr>
  </w:style>
  <w:style w:type="character" w:customStyle="1" w:styleId="SidhuvudChar">
    <w:name w:val="Sidhuvud Char"/>
    <w:basedOn w:val="Standardstycketeckensnitt"/>
    <w:link w:val="Sidhuvud"/>
    <w:rsid w:val="00986493"/>
    <w:rPr>
      <w:rFonts w:ascii="Arial" w:hAnsi="Arial" w:cs="Arial"/>
      <w:noProof w:val="0"/>
      <w:color w:val="000000"/>
      <w:sz w:val="18"/>
      <w:szCs w:val="24"/>
      <w:lang w:val="sv-SE" w:eastAsia="sv-SE"/>
    </w:rPr>
  </w:style>
  <w:style w:type="paragraph" w:styleId="Sidfot">
    <w:name w:val="footer"/>
    <w:basedOn w:val="Normal"/>
    <w:link w:val="SidfotChar"/>
    <w:rsid w:val="00986493"/>
    <w:pPr>
      <w:tabs>
        <w:tab w:val="center" w:pos="4680"/>
        <w:tab w:val="right" w:pos="9360"/>
      </w:tabs>
    </w:pPr>
    <w:rPr>
      <w:sz w:val="18"/>
    </w:rPr>
  </w:style>
  <w:style w:type="character" w:customStyle="1" w:styleId="SidfotChar">
    <w:name w:val="Sidfot Char"/>
    <w:basedOn w:val="Standardstycketeckensnitt"/>
    <w:link w:val="Sidfot"/>
    <w:rsid w:val="00986493"/>
    <w:rPr>
      <w:rFonts w:ascii="Arial" w:hAnsi="Arial" w:cs="Arial"/>
      <w:noProof w:val="0"/>
      <w:color w:val="000000"/>
      <w:sz w:val="18"/>
      <w:szCs w:val="24"/>
      <w:lang w:val="sv-SE" w:eastAsia="sv-SE"/>
    </w:rPr>
  </w:style>
  <w:style w:type="paragraph" w:styleId="Innehll1">
    <w:name w:val="toc 1"/>
    <w:basedOn w:val="Normal"/>
    <w:next w:val="Normal"/>
    <w:autoRedefine/>
    <w:rsid w:val="00986493"/>
    <w:pPr>
      <w:spacing w:before="260"/>
    </w:pPr>
    <w:rPr>
      <w:b/>
    </w:rPr>
  </w:style>
  <w:style w:type="paragraph" w:styleId="Innehll2">
    <w:name w:val="toc 2"/>
    <w:basedOn w:val="Normal"/>
    <w:next w:val="Normal"/>
    <w:autoRedefine/>
    <w:rsid w:val="00986493"/>
    <w:pPr>
      <w:ind w:left="200"/>
    </w:pPr>
  </w:style>
  <w:style w:type="paragraph" w:styleId="Innehll3">
    <w:name w:val="toc 3"/>
    <w:basedOn w:val="Normal"/>
    <w:next w:val="Normal"/>
    <w:autoRedefine/>
    <w:rsid w:val="00986493"/>
    <w:pPr>
      <w:ind w:left="400"/>
    </w:pPr>
  </w:style>
  <w:style w:type="paragraph" w:styleId="Innehll4">
    <w:name w:val="toc 4"/>
    <w:basedOn w:val="Normal"/>
    <w:next w:val="Normal"/>
    <w:autoRedefine/>
    <w:rsid w:val="00986493"/>
    <w:pPr>
      <w:ind w:left="600"/>
    </w:pPr>
  </w:style>
  <w:style w:type="paragraph" w:styleId="Lista">
    <w:name w:val="List"/>
    <w:basedOn w:val="Normal"/>
    <w:rsid w:val="00986493"/>
    <w:pPr>
      <w:ind w:left="283" w:hanging="283"/>
      <w:contextualSpacing/>
    </w:pPr>
  </w:style>
  <w:style w:type="paragraph" w:styleId="Listafortstt">
    <w:name w:val="List Continue"/>
    <w:basedOn w:val="Normal"/>
    <w:rsid w:val="00986493"/>
    <w:pPr>
      <w:spacing w:after="120"/>
      <w:ind w:left="283"/>
      <w:contextualSpacing/>
    </w:pPr>
  </w:style>
  <w:style w:type="paragraph" w:styleId="Liststycke">
    <w:name w:val="List Paragraph"/>
    <w:basedOn w:val="Normal"/>
    <w:uiPriority w:val="34"/>
    <w:rsid w:val="00986493"/>
    <w:pPr>
      <w:ind w:left="720"/>
      <w:contextualSpacing/>
    </w:pPr>
  </w:style>
  <w:style w:type="numbering" w:customStyle="1" w:styleId="Nummerlista">
    <w:name w:val="Nummer lista"/>
    <w:basedOn w:val="Ingenlista"/>
    <w:semiHidden/>
    <w:rsid w:val="00986493"/>
    <w:pPr>
      <w:numPr>
        <w:numId w:val="8"/>
      </w:numPr>
    </w:pPr>
  </w:style>
  <w:style w:type="numbering" w:customStyle="1" w:styleId="Punkterlista">
    <w:name w:val="Punkter lista"/>
    <w:basedOn w:val="Ingenlista"/>
    <w:semiHidden/>
    <w:rsid w:val="00986493"/>
    <w:pPr>
      <w:numPr>
        <w:numId w:val="9"/>
      </w:numPr>
    </w:pPr>
  </w:style>
  <w:style w:type="table" w:styleId="Tabellrutnt">
    <w:name w:val="Table Grid"/>
    <w:basedOn w:val="Normaltabell"/>
    <w:rsid w:val="0098649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ngtext">
    <w:name w:val="Balloon Text"/>
    <w:basedOn w:val="Normal"/>
    <w:link w:val="BallongtextChar"/>
    <w:rsid w:val="00986493"/>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986493"/>
    <w:rPr>
      <w:rFonts w:ascii="Tahoma" w:hAnsi="Tahoma" w:cs="Tahoma"/>
      <w:noProof w:val="0"/>
      <w:color w:val="000000"/>
      <w:sz w:val="16"/>
      <w:szCs w:val="16"/>
      <w:lang w:val="sv-SE" w:eastAsia="sv-SE"/>
    </w:rPr>
  </w:style>
  <w:style w:type="paragraph" w:customStyle="1" w:styleId="Normalutanavstnd">
    <w:name w:val="Normal utan avstånd"/>
    <w:basedOn w:val="Normal"/>
    <w:rsid w:val="00986493"/>
  </w:style>
  <w:style w:type="paragraph" w:customStyle="1" w:styleId="Etikett">
    <w:name w:val="Etikett"/>
    <w:basedOn w:val="Normal"/>
    <w:rsid w:val="00E56F31"/>
    <w:pPr>
      <w:jc w:val="right"/>
    </w:pPr>
    <w:rPr>
      <w:sz w:val="18"/>
    </w:rPr>
  </w:style>
  <w:style w:type="paragraph" w:customStyle="1" w:styleId="Huvudrubrik">
    <w:name w:val="Huvudrubrik"/>
    <w:basedOn w:val="Normal"/>
    <w:next w:val="Normal"/>
    <w:link w:val="HuvudrubrikChar"/>
    <w:qFormat/>
    <w:rsid w:val="006A2ECB"/>
    <w:pPr>
      <w:spacing w:before="360" w:after="120" w:line="240" w:lineRule="auto"/>
    </w:pPr>
    <w:rPr>
      <w:b/>
      <w:sz w:val="28"/>
    </w:rPr>
  </w:style>
  <w:style w:type="paragraph" w:customStyle="1" w:styleId="Heading1No">
    <w:name w:val="Heading_1 No"/>
    <w:basedOn w:val="Normal"/>
    <w:next w:val="Normal"/>
    <w:link w:val="Heading1NoChar"/>
    <w:rsid w:val="00C7624A"/>
    <w:pPr>
      <w:keepNext/>
      <w:numPr>
        <w:numId w:val="29"/>
      </w:numPr>
      <w:spacing w:before="360" w:after="60"/>
      <w:outlineLvl w:val="0"/>
    </w:pPr>
    <w:rPr>
      <w:b/>
      <w:sz w:val="24"/>
    </w:rPr>
  </w:style>
  <w:style w:type="character" w:customStyle="1" w:styleId="HuvudrubrikChar">
    <w:name w:val="Huvudrubrik Char"/>
    <w:basedOn w:val="Standardstycketeckensnitt"/>
    <w:link w:val="Huvudrubrik"/>
    <w:rsid w:val="008719A3"/>
    <w:rPr>
      <w:rFonts w:ascii="Arial" w:hAnsi="Arial" w:cs="Arial"/>
      <w:b/>
      <w:noProof w:val="0"/>
      <w:color w:val="000000"/>
      <w:sz w:val="28"/>
      <w:szCs w:val="24"/>
      <w:lang w:val="sv-SE" w:eastAsia="sv-SE"/>
    </w:rPr>
  </w:style>
  <w:style w:type="character" w:customStyle="1" w:styleId="Heading1NoChar">
    <w:name w:val="Heading_1 No Char"/>
    <w:basedOn w:val="Standardstycketeckensnitt"/>
    <w:link w:val="Heading1No"/>
    <w:rsid w:val="00C7624A"/>
    <w:rPr>
      <w:rFonts w:ascii="Arial" w:hAnsi="Arial" w:cs="Arial"/>
      <w:b/>
      <w:noProof w:val="0"/>
      <w:color w:val="000000"/>
      <w:sz w:val="24"/>
      <w:szCs w:val="24"/>
      <w:lang w:val="sv-SE" w:eastAsia="sv-SE"/>
    </w:rPr>
  </w:style>
  <w:style w:type="paragraph" w:customStyle="1" w:styleId="Heading2No">
    <w:name w:val="Heading_2 No"/>
    <w:basedOn w:val="Normal"/>
    <w:next w:val="Normal"/>
    <w:link w:val="Heading2NoChar"/>
    <w:rsid w:val="00C7624A"/>
    <w:pPr>
      <w:keepNext/>
      <w:numPr>
        <w:ilvl w:val="1"/>
        <w:numId w:val="29"/>
      </w:numPr>
      <w:spacing w:before="360" w:after="60"/>
      <w:outlineLvl w:val="1"/>
    </w:pPr>
    <w:rPr>
      <w:b/>
    </w:rPr>
  </w:style>
  <w:style w:type="character" w:customStyle="1" w:styleId="Heading2NoChar">
    <w:name w:val="Heading_2 No Char"/>
    <w:basedOn w:val="Standardstycketeckensnitt"/>
    <w:link w:val="Heading2No"/>
    <w:rsid w:val="00C7624A"/>
    <w:rPr>
      <w:rFonts w:ascii="Arial" w:hAnsi="Arial" w:cs="Arial"/>
      <w:b/>
      <w:noProof w:val="0"/>
      <w:color w:val="000000"/>
      <w:sz w:val="22"/>
      <w:szCs w:val="24"/>
      <w:lang w:val="sv-SE" w:eastAsia="sv-SE"/>
    </w:rPr>
  </w:style>
  <w:style w:type="paragraph" w:customStyle="1" w:styleId="Heading3No">
    <w:name w:val="Heading_3 No"/>
    <w:basedOn w:val="Normal"/>
    <w:next w:val="Normal"/>
    <w:link w:val="Heading3NoChar"/>
    <w:rsid w:val="00C7624A"/>
    <w:pPr>
      <w:keepNext/>
      <w:numPr>
        <w:ilvl w:val="2"/>
        <w:numId w:val="29"/>
      </w:numPr>
      <w:spacing w:before="360" w:after="60"/>
      <w:outlineLvl w:val="2"/>
    </w:pPr>
    <w:rPr>
      <w:i/>
    </w:rPr>
  </w:style>
  <w:style w:type="character" w:customStyle="1" w:styleId="Heading3NoChar">
    <w:name w:val="Heading_3 No Char"/>
    <w:basedOn w:val="Standardstycketeckensnitt"/>
    <w:link w:val="Heading3No"/>
    <w:rsid w:val="00C7624A"/>
    <w:rPr>
      <w:rFonts w:ascii="Arial" w:hAnsi="Arial" w:cs="Arial"/>
      <w:i/>
      <w:noProof w:val="0"/>
      <w:color w:val="000000"/>
      <w:sz w:val="22"/>
      <w:szCs w:val="24"/>
      <w:lang w:val="sv-SE" w:eastAsia="sv-SE"/>
    </w:rPr>
  </w:style>
  <w:style w:type="character" w:customStyle="1" w:styleId="Rubrik5Char">
    <w:name w:val="Rubrik 5 Char"/>
    <w:basedOn w:val="Standardstycketeckensnitt"/>
    <w:link w:val="Rubrik5"/>
    <w:semiHidden/>
    <w:rsid w:val="00C7624A"/>
    <w:rPr>
      <w:rFonts w:asciiTheme="majorHAnsi" w:eastAsiaTheme="majorEastAsia" w:hAnsiTheme="majorHAnsi" w:cstheme="majorBidi"/>
      <w:noProof w:val="0"/>
      <w:color w:val="003055" w:themeColor="accent1" w:themeShade="7F"/>
      <w:sz w:val="22"/>
      <w:szCs w:val="24"/>
      <w:lang w:val="sv-SE" w:eastAsia="sv-SE"/>
    </w:rPr>
  </w:style>
  <w:style w:type="character" w:customStyle="1" w:styleId="Rubrik6Char">
    <w:name w:val="Rubrik 6 Char"/>
    <w:basedOn w:val="Standardstycketeckensnitt"/>
    <w:link w:val="Rubrik6"/>
    <w:semiHidden/>
    <w:rsid w:val="00C7624A"/>
    <w:rPr>
      <w:rFonts w:asciiTheme="majorHAnsi" w:eastAsiaTheme="majorEastAsia" w:hAnsiTheme="majorHAnsi" w:cstheme="majorBidi"/>
      <w:i/>
      <w:iCs/>
      <w:noProof w:val="0"/>
      <w:color w:val="003055" w:themeColor="accent1" w:themeShade="7F"/>
      <w:sz w:val="22"/>
      <w:szCs w:val="24"/>
      <w:lang w:val="sv-SE" w:eastAsia="sv-SE"/>
    </w:rPr>
  </w:style>
  <w:style w:type="character" w:customStyle="1" w:styleId="Rubrik7Char">
    <w:name w:val="Rubrik 7 Char"/>
    <w:basedOn w:val="Standardstycketeckensnitt"/>
    <w:link w:val="Rubrik7"/>
    <w:semiHidden/>
    <w:rsid w:val="00C7624A"/>
    <w:rPr>
      <w:rFonts w:asciiTheme="majorHAnsi" w:eastAsiaTheme="majorEastAsia" w:hAnsiTheme="majorHAnsi" w:cstheme="majorBidi"/>
      <w:i/>
      <w:iCs/>
      <w:noProof w:val="0"/>
      <w:color w:val="404040" w:themeColor="text1" w:themeTint="BF"/>
      <w:sz w:val="22"/>
      <w:szCs w:val="24"/>
      <w:lang w:val="sv-SE" w:eastAsia="sv-SE"/>
    </w:rPr>
  </w:style>
  <w:style w:type="character" w:customStyle="1" w:styleId="Rubrik8Char">
    <w:name w:val="Rubrik 8 Char"/>
    <w:basedOn w:val="Standardstycketeckensnitt"/>
    <w:link w:val="Rubrik8"/>
    <w:semiHidden/>
    <w:rsid w:val="00C7624A"/>
    <w:rPr>
      <w:rFonts w:asciiTheme="majorHAnsi" w:eastAsiaTheme="majorEastAsia" w:hAnsiTheme="majorHAnsi" w:cstheme="majorBidi"/>
      <w:noProof w:val="0"/>
      <w:color w:val="404040" w:themeColor="text1" w:themeTint="BF"/>
      <w:lang w:val="sv-SE" w:eastAsia="sv-SE"/>
    </w:rPr>
  </w:style>
  <w:style w:type="character" w:customStyle="1" w:styleId="Rubrik9Char">
    <w:name w:val="Rubrik 9 Char"/>
    <w:basedOn w:val="Standardstycketeckensnitt"/>
    <w:link w:val="Rubrik9"/>
    <w:semiHidden/>
    <w:rsid w:val="00C7624A"/>
    <w:rPr>
      <w:rFonts w:asciiTheme="majorHAnsi" w:eastAsiaTheme="majorEastAsia" w:hAnsiTheme="majorHAnsi" w:cstheme="majorBidi"/>
      <w:i/>
      <w:iCs/>
      <w:noProof w:val="0"/>
      <w:color w:val="404040" w:themeColor="text1" w:themeTint="BF"/>
      <w:lang w:val="sv-SE" w:eastAsia="sv-SE"/>
    </w:rPr>
  </w:style>
  <w:style w:type="character" w:customStyle="1" w:styleId="Rubrik4Char">
    <w:name w:val="Rubrik 4 Char"/>
    <w:basedOn w:val="Standardstycketeckensnitt"/>
    <w:link w:val="Rubrik4"/>
    <w:semiHidden/>
    <w:rsid w:val="00C7624A"/>
    <w:rPr>
      <w:rFonts w:asciiTheme="majorHAnsi" w:eastAsiaTheme="majorEastAsia" w:hAnsiTheme="majorHAnsi" w:cstheme="majorBidi"/>
      <w:b/>
      <w:bCs/>
      <w:i/>
      <w:iCs/>
      <w:noProof w:val="0"/>
      <w:color w:val="0063AC" w:themeColor="accent1"/>
      <w:sz w:val="22"/>
      <w:szCs w:val="24"/>
      <w:lang w:val="sv-SE" w:eastAsia="sv-SE"/>
    </w:rPr>
  </w:style>
  <w:style w:type="paragraph" w:styleId="HTML-frformaterad">
    <w:name w:val="HTML Preformatted"/>
    <w:basedOn w:val="Normal"/>
    <w:link w:val="HTML-frformateradChar"/>
    <w:uiPriority w:val="99"/>
    <w:semiHidden/>
    <w:unhideWhenUsed/>
    <w:rsid w:val="00020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color w:val="auto"/>
      <w:sz w:val="20"/>
      <w:szCs w:val="20"/>
    </w:rPr>
  </w:style>
  <w:style w:type="character" w:customStyle="1" w:styleId="HTML-frformateradChar">
    <w:name w:val="HTML - förformaterad Char"/>
    <w:basedOn w:val="Standardstycketeckensnitt"/>
    <w:link w:val="HTML-frformaterad"/>
    <w:uiPriority w:val="99"/>
    <w:semiHidden/>
    <w:rsid w:val="0002054A"/>
    <w:rPr>
      <w:rFonts w:ascii="Courier New" w:hAnsi="Courier New" w:cs="Courier New"/>
      <w:noProof w:val="0"/>
      <w:lang w:val="sv-SE" w:eastAsia="sv-SE"/>
    </w:rPr>
  </w:style>
  <w:style w:type="character" w:customStyle="1" w:styleId="y2iqfc">
    <w:name w:val="y2iqfc"/>
    <w:basedOn w:val="Standardstycketeckensnitt"/>
    <w:rsid w:val="0002054A"/>
    <w:rPr>
      <w:noProof w:val="0"/>
      <w:lang w:val="sv-SE"/>
    </w:rPr>
  </w:style>
  <w:style w:type="paragraph" w:styleId="Fotnotstext">
    <w:name w:val="footnote text"/>
    <w:basedOn w:val="Normal"/>
    <w:link w:val="FotnotstextChar"/>
    <w:semiHidden/>
    <w:unhideWhenUsed/>
    <w:rsid w:val="00D62A69"/>
    <w:pPr>
      <w:spacing w:line="240" w:lineRule="auto"/>
    </w:pPr>
    <w:rPr>
      <w:sz w:val="20"/>
      <w:szCs w:val="20"/>
    </w:rPr>
  </w:style>
  <w:style w:type="character" w:customStyle="1" w:styleId="FotnotstextChar">
    <w:name w:val="Fotnotstext Char"/>
    <w:basedOn w:val="Standardstycketeckensnitt"/>
    <w:link w:val="Fotnotstext"/>
    <w:semiHidden/>
    <w:rsid w:val="00D62A69"/>
    <w:rPr>
      <w:rFonts w:ascii="Arial" w:hAnsi="Arial" w:cs="Arial"/>
      <w:noProof w:val="0"/>
      <w:color w:val="000000"/>
      <w:lang w:val="sv-SE" w:eastAsia="sv-SE"/>
    </w:rPr>
  </w:style>
  <w:style w:type="character" w:styleId="Fotnotsreferens">
    <w:name w:val="footnote reference"/>
    <w:basedOn w:val="Standardstycketeckensnitt"/>
    <w:semiHidden/>
    <w:unhideWhenUsed/>
    <w:rsid w:val="00D62A69"/>
    <w:rPr>
      <w:noProof w:val="0"/>
      <w:vertAlign w:val="superscript"/>
      <w:lang w:val="sv-SE"/>
    </w:rPr>
  </w:style>
  <w:style w:type="character" w:styleId="Hyperlnk">
    <w:name w:val="Hyperlink"/>
    <w:basedOn w:val="Standardstycketeckensnitt"/>
    <w:uiPriority w:val="99"/>
    <w:unhideWhenUsed/>
    <w:rsid w:val="00E65239"/>
    <w:rPr>
      <w:noProof w:val="0"/>
      <w:color w:val="0000FF"/>
      <w:u w:val="single"/>
      <w:lang w:val="sv-SE"/>
    </w:rPr>
  </w:style>
  <w:style w:type="character" w:styleId="Olstomnmnande">
    <w:name w:val="Unresolved Mention"/>
    <w:basedOn w:val="Standardstycketeckensnitt"/>
    <w:uiPriority w:val="99"/>
    <w:semiHidden/>
    <w:unhideWhenUsed/>
    <w:rsid w:val="003E365C"/>
    <w:rPr>
      <w:noProof w:val="0"/>
      <w:color w:val="605E5C"/>
      <w:shd w:val="clear" w:color="auto" w:fill="E1DFDD"/>
      <w:lang w:val="sv-SE"/>
    </w:rPr>
  </w:style>
  <w:style w:type="paragraph" w:styleId="Revision">
    <w:name w:val="Revision"/>
    <w:hidden/>
    <w:uiPriority w:val="99"/>
    <w:semiHidden/>
    <w:rsid w:val="00814CF4"/>
    <w:rPr>
      <w:rFonts w:ascii="Arial" w:hAnsi="Arial" w:cs="Arial"/>
      <w:color w:val="000000"/>
      <w:sz w:val="22"/>
      <w:szCs w:val="24"/>
      <w:lang w:val="sv-SE" w:eastAsia="sv-SE"/>
    </w:rPr>
  </w:style>
  <w:style w:type="character" w:styleId="Kommentarsreferens">
    <w:name w:val="annotation reference"/>
    <w:basedOn w:val="Standardstycketeckensnitt"/>
    <w:semiHidden/>
    <w:unhideWhenUsed/>
    <w:rsid w:val="00246365"/>
    <w:rPr>
      <w:sz w:val="16"/>
      <w:szCs w:val="16"/>
    </w:rPr>
  </w:style>
  <w:style w:type="paragraph" w:styleId="Kommentarer">
    <w:name w:val="annotation text"/>
    <w:basedOn w:val="Normal"/>
    <w:link w:val="KommentarerChar"/>
    <w:unhideWhenUsed/>
    <w:rsid w:val="00246365"/>
    <w:pPr>
      <w:spacing w:line="240" w:lineRule="auto"/>
    </w:pPr>
    <w:rPr>
      <w:sz w:val="20"/>
      <w:szCs w:val="20"/>
    </w:rPr>
  </w:style>
  <w:style w:type="character" w:customStyle="1" w:styleId="KommentarerChar">
    <w:name w:val="Kommentarer Char"/>
    <w:basedOn w:val="Standardstycketeckensnitt"/>
    <w:link w:val="Kommentarer"/>
    <w:rsid w:val="00246365"/>
    <w:rPr>
      <w:rFonts w:ascii="Arial" w:hAnsi="Arial" w:cs="Arial"/>
      <w:color w:val="000000"/>
      <w:lang w:val="sv-SE" w:eastAsia="sv-SE"/>
    </w:rPr>
  </w:style>
  <w:style w:type="paragraph" w:styleId="Kommentarsmne">
    <w:name w:val="annotation subject"/>
    <w:basedOn w:val="Kommentarer"/>
    <w:next w:val="Kommentarer"/>
    <w:link w:val="KommentarsmneChar"/>
    <w:semiHidden/>
    <w:unhideWhenUsed/>
    <w:rsid w:val="00246365"/>
    <w:rPr>
      <w:b/>
      <w:bCs/>
    </w:rPr>
  </w:style>
  <w:style w:type="character" w:customStyle="1" w:styleId="KommentarsmneChar">
    <w:name w:val="Kommentarsämne Char"/>
    <w:basedOn w:val="KommentarerChar"/>
    <w:link w:val="Kommentarsmne"/>
    <w:semiHidden/>
    <w:rsid w:val="00246365"/>
    <w:rPr>
      <w:rFonts w:ascii="Arial" w:hAnsi="Arial" w:cs="Arial"/>
      <w:b/>
      <w:bCs/>
      <w:color w:val="000000"/>
      <w:lang w:val="sv-SE" w:eastAsia="sv-SE"/>
    </w:rPr>
  </w:style>
  <w:style w:type="character" w:styleId="AnvndHyperlnk">
    <w:name w:val="FollowedHyperlink"/>
    <w:basedOn w:val="Standardstycketeckensnitt"/>
    <w:semiHidden/>
    <w:unhideWhenUsed/>
    <w:rsid w:val="00B66A49"/>
    <w:rPr>
      <w:color w:val="66666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5434">
      <w:bodyDiv w:val="1"/>
      <w:marLeft w:val="0"/>
      <w:marRight w:val="0"/>
      <w:marTop w:val="0"/>
      <w:marBottom w:val="0"/>
      <w:divBdr>
        <w:top w:val="none" w:sz="0" w:space="0" w:color="auto"/>
        <w:left w:val="none" w:sz="0" w:space="0" w:color="auto"/>
        <w:bottom w:val="none" w:sz="0" w:space="0" w:color="auto"/>
        <w:right w:val="none" w:sz="0" w:space="0" w:color="auto"/>
      </w:divBdr>
    </w:div>
    <w:div w:id="30805524">
      <w:bodyDiv w:val="1"/>
      <w:marLeft w:val="0"/>
      <w:marRight w:val="0"/>
      <w:marTop w:val="0"/>
      <w:marBottom w:val="0"/>
      <w:divBdr>
        <w:top w:val="none" w:sz="0" w:space="0" w:color="auto"/>
        <w:left w:val="none" w:sz="0" w:space="0" w:color="auto"/>
        <w:bottom w:val="none" w:sz="0" w:space="0" w:color="auto"/>
        <w:right w:val="none" w:sz="0" w:space="0" w:color="auto"/>
      </w:divBdr>
    </w:div>
    <w:div w:id="86927765">
      <w:bodyDiv w:val="1"/>
      <w:marLeft w:val="0"/>
      <w:marRight w:val="0"/>
      <w:marTop w:val="0"/>
      <w:marBottom w:val="0"/>
      <w:divBdr>
        <w:top w:val="none" w:sz="0" w:space="0" w:color="auto"/>
        <w:left w:val="none" w:sz="0" w:space="0" w:color="auto"/>
        <w:bottom w:val="none" w:sz="0" w:space="0" w:color="auto"/>
        <w:right w:val="none" w:sz="0" w:space="0" w:color="auto"/>
      </w:divBdr>
    </w:div>
    <w:div w:id="454640388">
      <w:bodyDiv w:val="1"/>
      <w:marLeft w:val="0"/>
      <w:marRight w:val="0"/>
      <w:marTop w:val="0"/>
      <w:marBottom w:val="0"/>
      <w:divBdr>
        <w:top w:val="none" w:sz="0" w:space="0" w:color="auto"/>
        <w:left w:val="none" w:sz="0" w:space="0" w:color="auto"/>
        <w:bottom w:val="none" w:sz="0" w:space="0" w:color="auto"/>
        <w:right w:val="none" w:sz="0" w:space="0" w:color="auto"/>
      </w:divBdr>
    </w:div>
    <w:div w:id="522020321">
      <w:bodyDiv w:val="1"/>
      <w:marLeft w:val="0"/>
      <w:marRight w:val="0"/>
      <w:marTop w:val="0"/>
      <w:marBottom w:val="0"/>
      <w:divBdr>
        <w:top w:val="none" w:sz="0" w:space="0" w:color="auto"/>
        <w:left w:val="none" w:sz="0" w:space="0" w:color="auto"/>
        <w:bottom w:val="none" w:sz="0" w:space="0" w:color="auto"/>
        <w:right w:val="none" w:sz="0" w:space="0" w:color="auto"/>
      </w:divBdr>
    </w:div>
    <w:div w:id="537670724">
      <w:bodyDiv w:val="1"/>
      <w:marLeft w:val="0"/>
      <w:marRight w:val="0"/>
      <w:marTop w:val="0"/>
      <w:marBottom w:val="0"/>
      <w:divBdr>
        <w:top w:val="none" w:sz="0" w:space="0" w:color="auto"/>
        <w:left w:val="none" w:sz="0" w:space="0" w:color="auto"/>
        <w:bottom w:val="none" w:sz="0" w:space="0" w:color="auto"/>
        <w:right w:val="none" w:sz="0" w:space="0" w:color="auto"/>
      </w:divBdr>
    </w:div>
    <w:div w:id="618607017">
      <w:bodyDiv w:val="1"/>
      <w:marLeft w:val="0"/>
      <w:marRight w:val="0"/>
      <w:marTop w:val="0"/>
      <w:marBottom w:val="0"/>
      <w:divBdr>
        <w:top w:val="none" w:sz="0" w:space="0" w:color="auto"/>
        <w:left w:val="none" w:sz="0" w:space="0" w:color="auto"/>
        <w:bottom w:val="none" w:sz="0" w:space="0" w:color="auto"/>
        <w:right w:val="none" w:sz="0" w:space="0" w:color="auto"/>
      </w:divBdr>
    </w:div>
    <w:div w:id="675574283">
      <w:bodyDiv w:val="1"/>
      <w:marLeft w:val="0"/>
      <w:marRight w:val="0"/>
      <w:marTop w:val="0"/>
      <w:marBottom w:val="0"/>
      <w:divBdr>
        <w:top w:val="none" w:sz="0" w:space="0" w:color="auto"/>
        <w:left w:val="none" w:sz="0" w:space="0" w:color="auto"/>
        <w:bottom w:val="none" w:sz="0" w:space="0" w:color="auto"/>
        <w:right w:val="none" w:sz="0" w:space="0" w:color="auto"/>
      </w:divBdr>
    </w:div>
    <w:div w:id="800225114">
      <w:bodyDiv w:val="1"/>
      <w:marLeft w:val="0"/>
      <w:marRight w:val="0"/>
      <w:marTop w:val="0"/>
      <w:marBottom w:val="0"/>
      <w:divBdr>
        <w:top w:val="none" w:sz="0" w:space="0" w:color="auto"/>
        <w:left w:val="none" w:sz="0" w:space="0" w:color="auto"/>
        <w:bottom w:val="none" w:sz="0" w:space="0" w:color="auto"/>
        <w:right w:val="none" w:sz="0" w:space="0" w:color="auto"/>
      </w:divBdr>
      <w:divsChild>
        <w:div w:id="544022017">
          <w:marLeft w:val="0"/>
          <w:marRight w:val="0"/>
          <w:marTop w:val="0"/>
          <w:marBottom w:val="0"/>
          <w:divBdr>
            <w:top w:val="none" w:sz="0" w:space="0" w:color="auto"/>
            <w:left w:val="none" w:sz="0" w:space="0" w:color="auto"/>
            <w:bottom w:val="none" w:sz="0" w:space="0" w:color="auto"/>
            <w:right w:val="none" w:sz="0" w:space="0" w:color="auto"/>
          </w:divBdr>
          <w:divsChild>
            <w:div w:id="413481629">
              <w:marLeft w:val="0"/>
              <w:marRight w:val="0"/>
              <w:marTop w:val="0"/>
              <w:marBottom w:val="0"/>
              <w:divBdr>
                <w:top w:val="none" w:sz="0" w:space="0" w:color="auto"/>
                <w:left w:val="none" w:sz="0" w:space="0" w:color="auto"/>
                <w:bottom w:val="none" w:sz="0" w:space="0" w:color="auto"/>
                <w:right w:val="none" w:sz="0" w:space="0" w:color="auto"/>
              </w:divBdr>
              <w:divsChild>
                <w:div w:id="1338724992">
                  <w:marLeft w:val="0"/>
                  <w:marRight w:val="0"/>
                  <w:marTop w:val="0"/>
                  <w:marBottom w:val="0"/>
                  <w:divBdr>
                    <w:top w:val="none" w:sz="0" w:space="0" w:color="auto"/>
                    <w:left w:val="none" w:sz="0" w:space="0" w:color="auto"/>
                    <w:bottom w:val="none" w:sz="0" w:space="0" w:color="auto"/>
                    <w:right w:val="none" w:sz="0" w:space="0" w:color="auto"/>
                  </w:divBdr>
                  <w:divsChild>
                    <w:div w:id="1748503298">
                      <w:marLeft w:val="0"/>
                      <w:marRight w:val="0"/>
                      <w:marTop w:val="0"/>
                      <w:marBottom w:val="0"/>
                      <w:divBdr>
                        <w:top w:val="none" w:sz="0" w:space="0" w:color="auto"/>
                        <w:left w:val="none" w:sz="0" w:space="0" w:color="auto"/>
                        <w:bottom w:val="none" w:sz="0" w:space="0" w:color="auto"/>
                        <w:right w:val="none" w:sz="0" w:space="0" w:color="auto"/>
                      </w:divBdr>
                      <w:divsChild>
                        <w:div w:id="1185441839">
                          <w:marLeft w:val="0"/>
                          <w:marRight w:val="0"/>
                          <w:marTop w:val="0"/>
                          <w:marBottom w:val="0"/>
                          <w:divBdr>
                            <w:top w:val="none" w:sz="0" w:space="0" w:color="auto"/>
                            <w:left w:val="none" w:sz="0" w:space="0" w:color="auto"/>
                            <w:bottom w:val="none" w:sz="0" w:space="0" w:color="auto"/>
                            <w:right w:val="none" w:sz="0" w:space="0" w:color="auto"/>
                          </w:divBdr>
                          <w:divsChild>
                            <w:div w:id="454061225">
                              <w:marLeft w:val="0"/>
                              <w:marRight w:val="0"/>
                              <w:marTop w:val="0"/>
                              <w:marBottom w:val="0"/>
                              <w:divBdr>
                                <w:top w:val="none" w:sz="0" w:space="0" w:color="auto"/>
                                <w:left w:val="none" w:sz="0" w:space="0" w:color="auto"/>
                                <w:bottom w:val="none" w:sz="0" w:space="0" w:color="auto"/>
                                <w:right w:val="none" w:sz="0" w:space="0" w:color="auto"/>
                              </w:divBdr>
                              <w:divsChild>
                                <w:div w:id="1432432871">
                                  <w:marLeft w:val="0"/>
                                  <w:marRight w:val="0"/>
                                  <w:marTop w:val="0"/>
                                  <w:marBottom w:val="0"/>
                                  <w:divBdr>
                                    <w:top w:val="none" w:sz="0" w:space="0" w:color="auto"/>
                                    <w:left w:val="none" w:sz="0" w:space="0" w:color="auto"/>
                                    <w:bottom w:val="none" w:sz="0" w:space="0" w:color="auto"/>
                                    <w:right w:val="none" w:sz="0" w:space="0" w:color="auto"/>
                                  </w:divBdr>
                                  <w:divsChild>
                                    <w:div w:id="86924746">
                                      <w:marLeft w:val="0"/>
                                      <w:marRight w:val="0"/>
                                      <w:marTop w:val="0"/>
                                      <w:marBottom w:val="0"/>
                                      <w:divBdr>
                                        <w:top w:val="none" w:sz="0" w:space="0" w:color="auto"/>
                                        <w:left w:val="none" w:sz="0" w:space="0" w:color="auto"/>
                                        <w:bottom w:val="none" w:sz="0" w:space="0" w:color="auto"/>
                                        <w:right w:val="none" w:sz="0" w:space="0" w:color="auto"/>
                                      </w:divBdr>
                                    </w:div>
                                    <w:div w:id="334038689">
                                      <w:marLeft w:val="0"/>
                                      <w:marRight w:val="0"/>
                                      <w:marTop w:val="0"/>
                                      <w:marBottom w:val="0"/>
                                      <w:divBdr>
                                        <w:top w:val="none" w:sz="0" w:space="0" w:color="auto"/>
                                        <w:left w:val="none" w:sz="0" w:space="0" w:color="auto"/>
                                        <w:bottom w:val="none" w:sz="0" w:space="0" w:color="auto"/>
                                        <w:right w:val="none" w:sz="0" w:space="0" w:color="auto"/>
                                      </w:divBdr>
                                      <w:divsChild>
                                        <w:div w:id="1356080808">
                                          <w:marLeft w:val="0"/>
                                          <w:marRight w:val="165"/>
                                          <w:marTop w:val="150"/>
                                          <w:marBottom w:val="0"/>
                                          <w:divBdr>
                                            <w:top w:val="none" w:sz="0" w:space="0" w:color="auto"/>
                                            <w:left w:val="none" w:sz="0" w:space="0" w:color="auto"/>
                                            <w:bottom w:val="none" w:sz="0" w:space="0" w:color="auto"/>
                                            <w:right w:val="none" w:sz="0" w:space="0" w:color="auto"/>
                                          </w:divBdr>
                                          <w:divsChild>
                                            <w:div w:id="154342627">
                                              <w:marLeft w:val="0"/>
                                              <w:marRight w:val="0"/>
                                              <w:marTop w:val="0"/>
                                              <w:marBottom w:val="0"/>
                                              <w:divBdr>
                                                <w:top w:val="none" w:sz="0" w:space="0" w:color="auto"/>
                                                <w:left w:val="none" w:sz="0" w:space="0" w:color="auto"/>
                                                <w:bottom w:val="none" w:sz="0" w:space="0" w:color="auto"/>
                                                <w:right w:val="none" w:sz="0" w:space="0" w:color="auto"/>
                                              </w:divBdr>
                                              <w:divsChild>
                                                <w:div w:id="65676714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885226">
      <w:bodyDiv w:val="1"/>
      <w:marLeft w:val="0"/>
      <w:marRight w:val="0"/>
      <w:marTop w:val="0"/>
      <w:marBottom w:val="0"/>
      <w:divBdr>
        <w:top w:val="none" w:sz="0" w:space="0" w:color="auto"/>
        <w:left w:val="none" w:sz="0" w:space="0" w:color="auto"/>
        <w:bottom w:val="none" w:sz="0" w:space="0" w:color="auto"/>
        <w:right w:val="none" w:sz="0" w:space="0" w:color="auto"/>
      </w:divBdr>
    </w:div>
    <w:div w:id="842088116">
      <w:bodyDiv w:val="1"/>
      <w:marLeft w:val="0"/>
      <w:marRight w:val="0"/>
      <w:marTop w:val="0"/>
      <w:marBottom w:val="0"/>
      <w:divBdr>
        <w:top w:val="none" w:sz="0" w:space="0" w:color="auto"/>
        <w:left w:val="none" w:sz="0" w:space="0" w:color="auto"/>
        <w:bottom w:val="none" w:sz="0" w:space="0" w:color="auto"/>
        <w:right w:val="none" w:sz="0" w:space="0" w:color="auto"/>
      </w:divBdr>
    </w:div>
    <w:div w:id="1056590748">
      <w:bodyDiv w:val="1"/>
      <w:marLeft w:val="0"/>
      <w:marRight w:val="0"/>
      <w:marTop w:val="0"/>
      <w:marBottom w:val="0"/>
      <w:divBdr>
        <w:top w:val="none" w:sz="0" w:space="0" w:color="auto"/>
        <w:left w:val="none" w:sz="0" w:space="0" w:color="auto"/>
        <w:bottom w:val="none" w:sz="0" w:space="0" w:color="auto"/>
        <w:right w:val="none" w:sz="0" w:space="0" w:color="auto"/>
      </w:divBdr>
    </w:div>
    <w:div w:id="1148783379">
      <w:bodyDiv w:val="1"/>
      <w:marLeft w:val="0"/>
      <w:marRight w:val="0"/>
      <w:marTop w:val="0"/>
      <w:marBottom w:val="0"/>
      <w:divBdr>
        <w:top w:val="none" w:sz="0" w:space="0" w:color="auto"/>
        <w:left w:val="none" w:sz="0" w:space="0" w:color="auto"/>
        <w:bottom w:val="none" w:sz="0" w:space="0" w:color="auto"/>
        <w:right w:val="none" w:sz="0" w:space="0" w:color="auto"/>
      </w:divBdr>
    </w:div>
    <w:div w:id="1223441776">
      <w:bodyDiv w:val="1"/>
      <w:marLeft w:val="0"/>
      <w:marRight w:val="0"/>
      <w:marTop w:val="0"/>
      <w:marBottom w:val="0"/>
      <w:divBdr>
        <w:top w:val="none" w:sz="0" w:space="0" w:color="auto"/>
        <w:left w:val="none" w:sz="0" w:space="0" w:color="auto"/>
        <w:bottom w:val="none" w:sz="0" w:space="0" w:color="auto"/>
        <w:right w:val="none" w:sz="0" w:space="0" w:color="auto"/>
      </w:divBdr>
    </w:div>
    <w:div w:id="1232279192">
      <w:bodyDiv w:val="1"/>
      <w:marLeft w:val="0"/>
      <w:marRight w:val="0"/>
      <w:marTop w:val="0"/>
      <w:marBottom w:val="0"/>
      <w:divBdr>
        <w:top w:val="none" w:sz="0" w:space="0" w:color="auto"/>
        <w:left w:val="none" w:sz="0" w:space="0" w:color="auto"/>
        <w:bottom w:val="none" w:sz="0" w:space="0" w:color="auto"/>
        <w:right w:val="none" w:sz="0" w:space="0" w:color="auto"/>
      </w:divBdr>
    </w:div>
    <w:div w:id="1494026304">
      <w:bodyDiv w:val="1"/>
      <w:marLeft w:val="0"/>
      <w:marRight w:val="0"/>
      <w:marTop w:val="0"/>
      <w:marBottom w:val="0"/>
      <w:divBdr>
        <w:top w:val="none" w:sz="0" w:space="0" w:color="auto"/>
        <w:left w:val="none" w:sz="0" w:space="0" w:color="auto"/>
        <w:bottom w:val="none" w:sz="0" w:space="0" w:color="auto"/>
        <w:right w:val="none" w:sz="0" w:space="0" w:color="auto"/>
      </w:divBdr>
    </w:div>
    <w:div w:id="1807501147">
      <w:bodyDiv w:val="1"/>
      <w:marLeft w:val="0"/>
      <w:marRight w:val="0"/>
      <w:marTop w:val="0"/>
      <w:marBottom w:val="0"/>
      <w:divBdr>
        <w:top w:val="none" w:sz="0" w:space="0" w:color="auto"/>
        <w:left w:val="none" w:sz="0" w:space="0" w:color="auto"/>
        <w:bottom w:val="none" w:sz="0" w:space="0" w:color="auto"/>
        <w:right w:val="none" w:sz="0" w:space="0" w:color="auto"/>
      </w:divBdr>
    </w:div>
    <w:div w:id="1853491207">
      <w:bodyDiv w:val="1"/>
      <w:marLeft w:val="0"/>
      <w:marRight w:val="0"/>
      <w:marTop w:val="0"/>
      <w:marBottom w:val="0"/>
      <w:divBdr>
        <w:top w:val="none" w:sz="0" w:space="0" w:color="auto"/>
        <w:left w:val="none" w:sz="0" w:space="0" w:color="auto"/>
        <w:bottom w:val="none" w:sz="0" w:space="0" w:color="auto"/>
        <w:right w:val="none" w:sz="0" w:space="0" w:color="auto"/>
      </w:divBdr>
    </w:div>
    <w:div w:id="1944605260">
      <w:bodyDiv w:val="1"/>
      <w:marLeft w:val="0"/>
      <w:marRight w:val="0"/>
      <w:marTop w:val="0"/>
      <w:marBottom w:val="0"/>
      <w:divBdr>
        <w:top w:val="none" w:sz="0" w:space="0" w:color="auto"/>
        <w:left w:val="none" w:sz="0" w:space="0" w:color="auto"/>
        <w:bottom w:val="none" w:sz="0" w:space="0" w:color="auto"/>
        <w:right w:val="none" w:sz="0" w:space="0" w:color="auto"/>
      </w:divBdr>
    </w:div>
    <w:div w:id="1998606453">
      <w:bodyDiv w:val="1"/>
      <w:marLeft w:val="0"/>
      <w:marRight w:val="0"/>
      <w:marTop w:val="0"/>
      <w:marBottom w:val="0"/>
      <w:divBdr>
        <w:top w:val="none" w:sz="0" w:space="0" w:color="auto"/>
        <w:left w:val="none" w:sz="0" w:space="0" w:color="auto"/>
        <w:bottom w:val="none" w:sz="0" w:space="0" w:color="auto"/>
        <w:right w:val="none" w:sz="0" w:space="0" w:color="auto"/>
      </w:divBdr>
    </w:div>
    <w:div w:id="200293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wedishbankers.s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onny.sylven@swedishbankers.se"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bloomberg.com/professional/solution/libor-resource-center/" TargetMode="External"/><Relationship Id="rId1" Type="http://schemas.openxmlformats.org/officeDocument/2006/relationships/hyperlink" Target="https://www.swedishbankers.se/en-us/issues-we-work-with/fallback-rate-for-stibor/recommendation-regarding-a-fallback-rate-for-stibo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y\AppData\Roaming\Microsoft\Templates\Blank.dotm" TargetMode="External"/></Relationships>
</file>

<file path=word/theme/theme1.xml><?xml version="1.0" encoding="utf-8"?>
<a:theme xmlns:a="http://schemas.openxmlformats.org/drawingml/2006/main" name="Office-tema">
  <a:themeElements>
    <a:clrScheme name="Privattandläkarna">
      <a:dk1>
        <a:sysClr val="windowText" lastClr="000000"/>
      </a:dk1>
      <a:lt1>
        <a:sysClr val="window" lastClr="FFFFFF"/>
      </a:lt1>
      <a:dk2>
        <a:srgbClr val="666666"/>
      </a:dk2>
      <a:lt2>
        <a:srgbClr val="FFFFFF"/>
      </a:lt2>
      <a:accent1>
        <a:srgbClr val="0063AC"/>
      </a:accent1>
      <a:accent2>
        <a:srgbClr val="62BEDD"/>
      </a:accent2>
      <a:accent3>
        <a:srgbClr val="666666"/>
      </a:accent3>
      <a:accent4>
        <a:srgbClr val="CCCCCC"/>
      </a:accent4>
      <a:accent5>
        <a:srgbClr val="E64415"/>
      </a:accent5>
      <a:accent6>
        <a:srgbClr val="666666"/>
      </a:accent6>
      <a:hlink>
        <a:srgbClr val="666666"/>
      </a:hlink>
      <a:folHlink>
        <a:srgbClr val="66666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878F1-21E6-47A4-9507-ECF26253F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Blank.dotm</Template>
  <TotalTime>2</TotalTime>
  <Pages>7</Pages>
  <Words>2244</Words>
  <Characters>11498</Characters>
  <Application>Microsoft Office Word</Application>
  <DocSecurity>4</DocSecurity>
  <Lines>95</Lines>
  <Paragraphs>27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Jonny Sylvén</dc:creator>
  <cp:keywords/>
  <dc:description/>
  <cp:lastModifiedBy>Jonny Sylvén</cp:lastModifiedBy>
  <cp:revision>2</cp:revision>
  <dcterms:created xsi:type="dcterms:W3CDTF">2023-09-01T06:10:00Z</dcterms:created>
  <dcterms:modified xsi:type="dcterms:W3CDTF">2023-09-01T06:10:00Z</dcterms:modified>
</cp:coreProperties>
</file>